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A924" w14:textId="77777777" w:rsidR="008A7AFC" w:rsidRDefault="008A7AFC" w:rsidP="002E1B2E"/>
    <w:p w14:paraId="0A73AE6F" w14:textId="4D8E4EEC" w:rsidR="0074228C" w:rsidRDefault="0074228C" w:rsidP="0074228C">
      <w:pPr>
        <w:pStyle w:val="UltraHeading"/>
      </w:pPr>
      <w:r w:rsidRPr="00015F6C">
        <w:t>T</w:t>
      </w:r>
      <w:r>
        <w:t>ool</w:t>
      </w:r>
      <w:r w:rsidR="00B82614">
        <w:t xml:space="preserve"> 1</w:t>
      </w:r>
      <w:r>
        <w:t xml:space="preserve">: </w:t>
      </w:r>
      <w:r w:rsidRPr="00015F6C">
        <w:t xml:space="preserve">Developing </w:t>
      </w:r>
      <w:r w:rsidR="009A1A9A">
        <w:t>a</w:t>
      </w:r>
      <w:r w:rsidRPr="00015F6C">
        <w:t xml:space="preserve"> guide to doing business in our region</w:t>
      </w:r>
      <w:r w:rsidRPr="00015F6C">
        <w:rPr>
          <w:i/>
        </w:rPr>
        <w:t xml:space="preserve"> </w:t>
      </w:r>
      <w:r w:rsidRPr="00015F6C">
        <w:t>checklist</w:t>
      </w:r>
    </w:p>
    <w:p w14:paraId="24515443" w14:textId="38A33535" w:rsidR="0081698A" w:rsidRPr="00143EAF" w:rsidRDefault="0074228C" w:rsidP="00143EAF">
      <w:pPr>
        <w:spacing w:after="120" w:line="240" w:lineRule="auto"/>
        <w:rPr>
          <w:rFonts w:eastAsiaTheme="minorEastAsia"/>
          <w:sz w:val="20"/>
          <w:szCs w:val="24"/>
          <w:lang w:val="en-AU"/>
        </w:rPr>
      </w:pPr>
      <w:r w:rsidRPr="00325C96">
        <w:rPr>
          <w:rFonts w:eastAsiaTheme="minorEastAsia"/>
          <w:sz w:val="20"/>
          <w:szCs w:val="24"/>
          <w:lang w:val="en-AU"/>
        </w:rPr>
        <w:t xml:space="preserve"> </w:t>
      </w:r>
    </w:p>
    <w:tbl>
      <w:tblPr>
        <w:tblStyle w:val="Table-QldBlue"/>
        <w:tblpPr w:leftFromText="180" w:rightFromText="180" w:vertAnchor="page" w:horzAnchor="margin" w:tblpY="4794"/>
        <w:tblW w:w="0" w:type="auto"/>
        <w:tblLook w:val="04A0" w:firstRow="1" w:lastRow="0" w:firstColumn="1" w:lastColumn="0" w:noHBand="0" w:noVBand="1"/>
      </w:tblPr>
      <w:tblGrid>
        <w:gridCol w:w="9634"/>
        <w:gridCol w:w="846"/>
      </w:tblGrid>
      <w:tr w:rsidR="00086655" w:rsidRPr="00FF7FC3" w14:paraId="0AA1F8A8" w14:textId="77777777" w:rsidTr="00086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14:paraId="156CD131" w14:textId="77777777" w:rsidR="00086655" w:rsidRPr="00FF7FC3" w:rsidRDefault="00086655" w:rsidP="00086655">
            <w:pPr>
              <w:rPr>
                <w:rFonts w:cs="Noto Sans"/>
                <w:sz w:val="20"/>
                <w:szCs w:val="20"/>
              </w:rPr>
            </w:pPr>
            <w:r w:rsidRPr="00FF7FC3">
              <w:rPr>
                <w:rFonts w:cs="Noto Sans"/>
                <w:sz w:val="20"/>
                <w:szCs w:val="20"/>
                <w:lang w:val="en-AU"/>
              </w:rPr>
              <w:t>1. Confirm council’s strategic position</w:t>
            </w:r>
          </w:p>
        </w:tc>
      </w:tr>
      <w:tr w:rsidR="00086655" w:rsidRPr="00FF7FC3" w14:paraId="1C511E01" w14:textId="77777777" w:rsidTr="00086655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2CCECD2" w14:textId="04179A84" w:rsidR="00086655" w:rsidRPr="00FF7FC3" w:rsidRDefault="00086655" w:rsidP="00086655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Review council’s r</w:t>
            </w: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/>
              </w:rPr>
              <w:t>elevant</w:t>
            </w: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 xml:space="preserve"> strategies, plans and policies</w:t>
            </w:r>
          </w:p>
        </w:tc>
        <w:tc>
          <w:tcPr>
            <w:tcW w:w="846" w:type="dxa"/>
            <w:shd w:val="clear" w:color="auto" w:fill="E7E6E6" w:themeFill="background2"/>
          </w:tcPr>
          <w:p w14:paraId="0AA5F914" w14:textId="559F38C2" w:rsidR="00086655" w:rsidRPr="00F93C5B" w:rsidRDefault="00086655" w:rsidP="00086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086655" w:rsidRPr="00FF7FC3" w14:paraId="3C92BCDC" w14:textId="77777777" w:rsidTr="00086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08D961C" w14:textId="77777777" w:rsidR="00086655" w:rsidRPr="00FF7FC3" w:rsidRDefault="00086655" w:rsidP="00086655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Identify alignment with regional economic, environmental and social priorities</w:t>
            </w:r>
          </w:p>
        </w:tc>
        <w:tc>
          <w:tcPr>
            <w:tcW w:w="846" w:type="dxa"/>
            <w:shd w:val="clear" w:color="auto" w:fill="E7E6E6" w:themeFill="background2"/>
          </w:tcPr>
          <w:p w14:paraId="32C4A24A" w14:textId="191F00AE" w:rsidR="00086655" w:rsidRPr="00F93C5B" w:rsidRDefault="00086655" w:rsidP="00086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</w:tbl>
    <w:p w14:paraId="4AE61DF4" w14:textId="77777777" w:rsidR="00A10BB9" w:rsidRPr="00FF7FC3" w:rsidRDefault="00A10BB9" w:rsidP="007F6F63">
      <w:pPr>
        <w:rPr>
          <w:rFonts w:cs="Noto Sans"/>
          <w:sz w:val="20"/>
          <w:szCs w:val="20"/>
        </w:rPr>
      </w:pPr>
    </w:p>
    <w:p w14:paraId="56FA028C" w14:textId="4AADC427" w:rsidR="00086655" w:rsidRPr="00FF7FC3" w:rsidRDefault="00086655" w:rsidP="00086655">
      <w:pPr>
        <w:spacing w:after="0" w:line="240" w:lineRule="auto"/>
        <w:rPr>
          <w:rFonts w:cs="Noto Sans"/>
          <w:sz w:val="20"/>
          <w:szCs w:val="20"/>
        </w:rPr>
      </w:pPr>
    </w:p>
    <w:tbl>
      <w:tblPr>
        <w:tblStyle w:val="Table-QldBlue"/>
        <w:tblW w:w="0" w:type="auto"/>
        <w:tblLook w:val="04A0" w:firstRow="1" w:lastRow="0" w:firstColumn="1" w:lastColumn="0" w:noHBand="0" w:noVBand="1"/>
      </w:tblPr>
      <w:tblGrid>
        <w:gridCol w:w="9634"/>
        <w:gridCol w:w="846"/>
      </w:tblGrid>
      <w:tr w:rsidR="00A51AEA" w:rsidRPr="00FF7FC3" w14:paraId="1288F5F8" w14:textId="77777777" w:rsidTr="00800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14:paraId="5135A85E" w14:textId="2D8A6445" w:rsidR="00A51AEA" w:rsidRPr="00FF7FC3" w:rsidRDefault="00A51AEA" w:rsidP="007F6F63">
            <w:pPr>
              <w:rPr>
                <w:rFonts w:cs="Noto Sans"/>
                <w:sz w:val="20"/>
                <w:szCs w:val="20"/>
              </w:rPr>
            </w:pPr>
            <w:r w:rsidRPr="00FF7FC3">
              <w:rPr>
                <w:rFonts w:cs="Noto Sans"/>
                <w:sz w:val="20"/>
                <w:szCs w:val="20"/>
                <w:lang w:val="en-AU"/>
              </w:rPr>
              <w:t>2. Map stakeholders (may be drawn from a SIA, if available)</w:t>
            </w:r>
          </w:p>
        </w:tc>
      </w:tr>
      <w:tr w:rsidR="00F93C5B" w:rsidRPr="00FF7FC3" w14:paraId="1D124612" w14:textId="77777777" w:rsidTr="00A5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2B50DA13" w14:textId="20729AF4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 xml:space="preserve">Identify key stakeholders, Aboriginal </w:t>
            </w:r>
            <w:r w:rsidR="0051225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and Torres Strait Islander communities</w:t>
            </w: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, industry and peak bodies, chambers of commerce, social service organisations, education and training providers and local community groups</w:t>
            </w:r>
          </w:p>
        </w:tc>
        <w:tc>
          <w:tcPr>
            <w:tcW w:w="846" w:type="dxa"/>
            <w:shd w:val="clear" w:color="auto" w:fill="E7E6E6" w:themeFill="background2"/>
          </w:tcPr>
          <w:p w14:paraId="57CAE078" w14:textId="1140FF45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3BF18BC8" w14:textId="77777777" w:rsidTr="00A5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6116D849" w14:textId="4F6ADA7A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Map existing relationships, partnerships and engagement history</w:t>
            </w:r>
          </w:p>
        </w:tc>
        <w:tc>
          <w:tcPr>
            <w:tcW w:w="846" w:type="dxa"/>
          </w:tcPr>
          <w:p w14:paraId="447447C1" w14:textId="2AF374E1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40AE1260" w14:textId="77777777" w:rsidTr="00A5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C8C5B3D" w14:textId="514C69AA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Document key contact points and communication methods</w:t>
            </w:r>
          </w:p>
        </w:tc>
        <w:tc>
          <w:tcPr>
            <w:tcW w:w="846" w:type="dxa"/>
            <w:shd w:val="clear" w:color="auto" w:fill="E7E6E6" w:themeFill="background2"/>
          </w:tcPr>
          <w:p w14:paraId="6F94F5FE" w14:textId="6591A99E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493992BA" w14:textId="77777777" w:rsidTr="00A51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4CF34235" w14:textId="7B7E7572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Consider whether other stakeholders can assist in identifying opportunities for community benefits</w:t>
            </w:r>
          </w:p>
        </w:tc>
        <w:tc>
          <w:tcPr>
            <w:tcW w:w="846" w:type="dxa"/>
          </w:tcPr>
          <w:p w14:paraId="2B3FCA1D" w14:textId="47112918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</w:tbl>
    <w:p w14:paraId="584AD88D" w14:textId="77777777" w:rsidR="00086655" w:rsidRDefault="00086655" w:rsidP="007F6F63">
      <w:pPr>
        <w:rPr>
          <w:rFonts w:cs="Noto Sans"/>
          <w:sz w:val="20"/>
          <w:szCs w:val="20"/>
        </w:rPr>
      </w:pPr>
    </w:p>
    <w:p w14:paraId="3C7840C9" w14:textId="77777777" w:rsidR="00086655" w:rsidRDefault="00086655">
      <w:pPr>
        <w:spacing w:after="0" w:line="240" w:lineRule="auto"/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  <w:br w:type="page"/>
      </w:r>
    </w:p>
    <w:p w14:paraId="0E73340A" w14:textId="77777777" w:rsidR="00143EAF" w:rsidRPr="00FF7FC3" w:rsidRDefault="00143EAF" w:rsidP="007F6F63">
      <w:pPr>
        <w:rPr>
          <w:rFonts w:cs="Noto Sans"/>
          <w:sz w:val="20"/>
          <w:szCs w:val="20"/>
        </w:rPr>
      </w:pPr>
    </w:p>
    <w:tbl>
      <w:tblPr>
        <w:tblStyle w:val="Table-QldBlue"/>
        <w:tblW w:w="0" w:type="auto"/>
        <w:tblLook w:val="04A0" w:firstRow="1" w:lastRow="0" w:firstColumn="1" w:lastColumn="0" w:noHBand="0" w:noVBand="1"/>
      </w:tblPr>
      <w:tblGrid>
        <w:gridCol w:w="9634"/>
        <w:gridCol w:w="846"/>
      </w:tblGrid>
      <w:tr w:rsidR="00D766C3" w:rsidRPr="00FF7FC3" w14:paraId="29271860" w14:textId="77777777" w:rsidTr="00800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14:paraId="1D92F0A8" w14:textId="72E70243" w:rsidR="00D766C3" w:rsidRPr="00FF7FC3" w:rsidRDefault="00D766C3" w:rsidP="007F6F63">
            <w:pPr>
              <w:rPr>
                <w:rFonts w:cs="Noto Sans"/>
                <w:sz w:val="20"/>
                <w:szCs w:val="20"/>
              </w:rPr>
            </w:pPr>
            <w:r w:rsidRPr="00FF7FC3">
              <w:rPr>
                <w:rFonts w:cs="Noto Sans"/>
                <w:sz w:val="20"/>
                <w:szCs w:val="20"/>
                <w:lang w:val="en-AU"/>
              </w:rPr>
              <w:t>3. Define community values and principles</w:t>
            </w:r>
          </w:p>
        </w:tc>
      </w:tr>
      <w:tr w:rsidR="00F93C5B" w:rsidRPr="00FF7FC3" w14:paraId="3649036E" w14:textId="77777777" w:rsidTr="00496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BDEEF51" w14:textId="2D034A93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Draw on community plans, surveys and engagement outcomes to identify local values</w:t>
            </w:r>
          </w:p>
        </w:tc>
        <w:tc>
          <w:tcPr>
            <w:tcW w:w="846" w:type="dxa"/>
            <w:shd w:val="clear" w:color="auto" w:fill="E7E6E6" w:themeFill="background2"/>
          </w:tcPr>
          <w:p w14:paraId="128FEB78" w14:textId="63AE2D20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151A1529" w14:textId="77777777" w:rsidTr="00496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2A156C94" w14:textId="7250C483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Consider cultural, heritage and environmental principles</w:t>
            </w:r>
          </w:p>
        </w:tc>
        <w:tc>
          <w:tcPr>
            <w:tcW w:w="846" w:type="dxa"/>
          </w:tcPr>
          <w:p w14:paraId="12F32689" w14:textId="006405DA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39F14800" w14:textId="77777777" w:rsidTr="00496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92C459F" w14:textId="1F8FD100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*Summarise the region’s expectations around fair and respectful project engagement</w:t>
            </w:r>
          </w:p>
        </w:tc>
        <w:tc>
          <w:tcPr>
            <w:tcW w:w="846" w:type="dxa"/>
            <w:shd w:val="clear" w:color="auto" w:fill="E7E6E6" w:themeFill="background2"/>
          </w:tcPr>
          <w:p w14:paraId="3277D348" w14:textId="1533C92A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363B7212" w14:textId="77777777" w:rsidTr="00496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24AA92FF" w14:textId="6B51A6C4" w:rsidR="00F93C5B" w:rsidRPr="00FF7FC3" w:rsidRDefault="00F93C5B" w:rsidP="00086655">
            <w:pPr>
              <w:spacing w:after="0"/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Include guidance on how proponents can demonstrate alignment with local values and benefit-sharing principles</w:t>
            </w:r>
          </w:p>
        </w:tc>
        <w:tc>
          <w:tcPr>
            <w:tcW w:w="846" w:type="dxa"/>
          </w:tcPr>
          <w:p w14:paraId="3ED616F4" w14:textId="1C740A1F" w:rsidR="00F93C5B" w:rsidRPr="00FF7FC3" w:rsidRDefault="00F93C5B" w:rsidP="0008665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</w:tbl>
    <w:p w14:paraId="59514934" w14:textId="77777777" w:rsidR="00CE5188" w:rsidRPr="00FF7FC3" w:rsidRDefault="00CE5188" w:rsidP="007F6F63">
      <w:pPr>
        <w:rPr>
          <w:rFonts w:cs="Noto Sans"/>
          <w:sz w:val="20"/>
          <w:szCs w:val="20"/>
        </w:rPr>
      </w:pPr>
    </w:p>
    <w:tbl>
      <w:tblPr>
        <w:tblStyle w:val="Table-QldBlue"/>
        <w:tblW w:w="10485" w:type="dxa"/>
        <w:tblLook w:val="04A0" w:firstRow="1" w:lastRow="0" w:firstColumn="1" w:lastColumn="0" w:noHBand="0" w:noVBand="1"/>
      </w:tblPr>
      <w:tblGrid>
        <w:gridCol w:w="9634"/>
        <w:gridCol w:w="851"/>
      </w:tblGrid>
      <w:tr w:rsidR="00D766C3" w:rsidRPr="00FF7FC3" w14:paraId="5AF7C498" w14:textId="77777777" w:rsidTr="00800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</w:tcPr>
          <w:p w14:paraId="234EDFA5" w14:textId="6A17DF0B" w:rsidR="00D766C3" w:rsidRPr="00FF7FC3" w:rsidRDefault="00D766C3" w:rsidP="007F6F63">
            <w:pPr>
              <w:rPr>
                <w:rFonts w:cs="Noto Sans"/>
                <w:sz w:val="20"/>
                <w:szCs w:val="20"/>
              </w:rPr>
            </w:pPr>
            <w:r w:rsidRPr="00FF7FC3">
              <w:rPr>
                <w:rFonts w:cs="Noto Sans"/>
                <w:sz w:val="20"/>
                <w:szCs w:val="20"/>
                <w:lang w:val="en-AU"/>
              </w:rPr>
              <w:t>4. Local content and workforce requirements</w:t>
            </w:r>
          </w:p>
        </w:tc>
      </w:tr>
      <w:tr w:rsidR="00F93C5B" w:rsidRPr="00FF7FC3" w14:paraId="6A606180" w14:textId="77777777" w:rsidTr="000B5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E3DD6DB" w14:textId="3A3C85B1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*Set expectation to prioritise local employment, apprenticeships and upskilling</w:t>
            </w:r>
          </w:p>
        </w:tc>
        <w:tc>
          <w:tcPr>
            <w:tcW w:w="851" w:type="dxa"/>
            <w:shd w:val="clear" w:color="auto" w:fill="E7E6E6" w:themeFill="background2"/>
          </w:tcPr>
          <w:p w14:paraId="55686F04" w14:textId="7BFC3BAB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0287049C" w14:textId="77777777" w:rsidTr="000B5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0E894D96" w14:textId="3EE1B689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Identify priority local businesses and industry capability gaps</w:t>
            </w:r>
          </w:p>
        </w:tc>
        <w:tc>
          <w:tcPr>
            <w:tcW w:w="851" w:type="dxa"/>
          </w:tcPr>
          <w:p w14:paraId="44721E0D" w14:textId="45DA3E99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46477C88" w14:textId="77777777" w:rsidTr="000B5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10C87651" w14:textId="74247A70" w:rsidR="00F93C5B" w:rsidRPr="00FF7FC3" w:rsidRDefault="00F93C5B" w:rsidP="00086655">
            <w:pPr>
              <w:spacing w:after="0"/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*Set expectations around prioritising buying local and develop guidelines for minimum local procurement targets where appropriate</w:t>
            </w:r>
          </w:p>
        </w:tc>
        <w:tc>
          <w:tcPr>
            <w:tcW w:w="851" w:type="dxa"/>
            <w:shd w:val="clear" w:color="auto" w:fill="E7E6E6" w:themeFill="background2"/>
          </w:tcPr>
          <w:p w14:paraId="756FCA41" w14:textId="7EF82EB9" w:rsidR="00F93C5B" w:rsidRPr="00FF7FC3" w:rsidRDefault="00F93C5B" w:rsidP="0008665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1C3BC097" w14:textId="77777777" w:rsidTr="000B5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69A7699B" w14:textId="3679FE45" w:rsidR="00F93C5B" w:rsidRPr="00FF7FC3" w:rsidRDefault="00F93C5B" w:rsidP="00086655">
            <w:pPr>
              <w:spacing w:after="0"/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*Consider workforce housing and accommodation expectations (for example, town-based housing versus temporary camps or use of existing visitor accommodation)</w:t>
            </w:r>
          </w:p>
        </w:tc>
        <w:tc>
          <w:tcPr>
            <w:tcW w:w="851" w:type="dxa"/>
          </w:tcPr>
          <w:p w14:paraId="568B5971" w14:textId="42D0AE10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</w:tbl>
    <w:p w14:paraId="3126E70E" w14:textId="77777777" w:rsidR="0036058D" w:rsidRPr="00FF7FC3" w:rsidRDefault="0036058D" w:rsidP="007F6F63">
      <w:pPr>
        <w:rPr>
          <w:rFonts w:cs="Noto Sans"/>
          <w:sz w:val="20"/>
          <w:szCs w:val="20"/>
        </w:rPr>
      </w:pPr>
    </w:p>
    <w:tbl>
      <w:tblPr>
        <w:tblStyle w:val="Table-QldBlue"/>
        <w:tblW w:w="0" w:type="auto"/>
        <w:tblLook w:val="04A0" w:firstRow="1" w:lastRow="0" w:firstColumn="1" w:lastColumn="0" w:noHBand="0" w:noVBand="1"/>
      </w:tblPr>
      <w:tblGrid>
        <w:gridCol w:w="9634"/>
        <w:gridCol w:w="846"/>
      </w:tblGrid>
      <w:tr w:rsidR="00D766C3" w:rsidRPr="00FF7FC3" w14:paraId="30BDCEB4" w14:textId="77777777" w:rsidTr="00800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14:paraId="50CF0348" w14:textId="0B51D736" w:rsidR="00D766C3" w:rsidRPr="00FF7FC3" w:rsidRDefault="00896DB5" w:rsidP="007F6F63">
            <w:pPr>
              <w:rPr>
                <w:rFonts w:cs="Noto Sans"/>
                <w:sz w:val="20"/>
                <w:szCs w:val="20"/>
              </w:rPr>
            </w:pPr>
            <w:r w:rsidRPr="00FF7FC3">
              <w:rPr>
                <w:rFonts w:cs="Noto Sans"/>
                <w:sz w:val="20"/>
                <w:szCs w:val="20"/>
                <w:lang w:val="en-AU"/>
              </w:rPr>
              <w:t>5. Social licence and community benefit criteria</w:t>
            </w:r>
          </w:p>
        </w:tc>
      </w:tr>
      <w:tr w:rsidR="00F93C5B" w:rsidRPr="00FF7FC3" w14:paraId="7B8C7FE8" w14:textId="77777777" w:rsidTr="00F4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CAF984B" w14:textId="068C7CC5" w:rsidR="00F93C5B" w:rsidRPr="00FF7FC3" w:rsidRDefault="00F93C5B" w:rsidP="00086655">
            <w:pPr>
              <w:spacing w:after="0"/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*Determine expectations around social licence, including ongoing community engagement, partnerships and visibility of proponents</w:t>
            </w:r>
          </w:p>
        </w:tc>
        <w:tc>
          <w:tcPr>
            <w:tcW w:w="846" w:type="dxa"/>
            <w:shd w:val="clear" w:color="auto" w:fill="E7E6E6" w:themeFill="background2"/>
          </w:tcPr>
          <w:p w14:paraId="77726B54" w14:textId="35D47ADD" w:rsidR="00F93C5B" w:rsidRPr="00FF7FC3" w:rsidRDefault="00F93C5B" w:rsidP="0008665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515F2D88" w14:textId="77777777" w:rsidTr="00F4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5813D400" w14:textId="569B4DA8" w:rsidR="00F93C5B" w:rsidRPr="00FF7FC3" w:rsidRDefault="00F93C5B" w:rsidP="00086655">
            <w:pPr>
              <w:spacing w:after="0"/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Define what a community benefit looks like in the LGA, supported by evidence from engagement outcomes and local aspirations</w:t>
            </w:r>
          </w:p>
        </w:tc>
        <w:tc>
          <w:tcPr>
            <w:tcW w:w="846" w:type="dxa"/>
          </w:tcPr>
          <w:p w14:paraId="0BB8F36C" w14:textId="738375ED" w:rsidR="00F93C5B" w:rsidRPr="00FF7FC3" w:rsidRDefault="00F93C5B" w:rsidP="0008665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56D5367F" w14:textId="77777777" w:rsidTr="00F4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4B629631" w14:textId="2F80393B" w:rsidR="00F93C5B" w:rsidRPr="00FF7FC3" w:rsidRDefault="00F93C5B" w:rsidP="00086655">
            <w:pPr>
              <w:spacing w:after="0"/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*Set out processes and procedures for negotiating, documenting and monitoring CBAs, in line with relevant statutory requirements and state guidance</w:t>
            </w:r>
          </w:p>
        </w:tc>
        <w:tc>
          <w:tcPr>
            <w:tcW w:w="846" w:type="dxa"/>
            <w:shd w:val="clear" w:color="auto" w:fill="E7E6E6" w:themeFill="background2"/>
          </w:tcPr>
          <w:p w14:paraId="2028C333" w14:textId="38AEDABE" w:rsidR="00F93C5B" w:rsidRPr="00FF7FC3" w:rsidRDefault="00F93C5B" w:rsidP="0008665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28B242E6" w14:textId="77777777" w:rsidTr="00F4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4C987E1A" w14:textId="3B8D72F0" w:rsidR="00F93C5B" w:rsidRPr="00FF7FC3" w:rsidRDefault="00F93C5B" w:rsidP="00086655">
            <w:pPr>
              <w:spacing w:after="0"/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Ensure criteria are proportionate to the project’s impact and support equitable distribution of benefits</w:t>
            </w:r>
          </w:p>
        </w:tc>
        <w:tc>
          <w:tcPr>
            <w:tcW w:w="846" w:type="dxa"/>
          </w:tcPr>
          <w:p w14:paraId="112A8EBA" w14:textId="57DA5800" w:rsidR="00F93C5B" w:rsidRPr="00FF7FC3" w:rsidRDefault="00F93C5B" w:rsidP="0008665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</w:tbl>
    <w:p w14:paraId="522AEC02" w14:textId="5E3F23F7" w:rsidR="00A10BB9" w:rsidRPr="00FF7FC3" w:rsidRDefault="00A10BB9" w:rsidP="00086655">
      <w:pPr>
        <w:spacing w:after="0"/>
        <w:rPr>
          <w:rFonts w:cs="Noto Sans"/>
          <w:sz w:val="20"/>
          <w:szCs w:val="20"/>
        </w:rPr>
      </w:pPr>
    </w:p>
    <w:p w14:paraId="71978E68" w14:textId="77777777" w:rsidR="00735EBA" w:rsidRPr="00FF7FC3" w:rsidRDefault="00735EBA" w:rsidP="007F6F63">
      <w:pPr>
        <w:rPr>
          <w:rFonts w:cs="Noto Sans"/>
          <w:sz w:val="20"/>
          <w:szCs w:val="20"/>
        </w:rPr>
      </w:pPr>
    </w:p>
    <w:tbl>
      <w:tblPr>
        <w:tblStyle w:val="Table-QldBlue"/>
        <w:tblW w:w="0" w:type="auto"/>
        <w:tblLook w:val="04A0" w:firstRow="1" w:lastRow="0" w:firstColumn="1" w:lastColumn="0" w:noHBand="0" w:noVBand="1"/>
      </w:tblPr>
      <w:tblGrid>
        <w:gridCol w:w="9634"/>
        <w:gridCol w:w="846"/>
      </w:tblGrid>
      <w:tr w:rsidR="008251F5" w:rsidRPr="00FF7FC3" w14:paraId="0646A46A" w14:textId="77777777" w:rsidTr="00CE4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14:paraId="28BD6E8B" w14:textId="3169ACC9" w:rsidR="008251F5" w:rsidRPr="00FF7FC3" w:rsidRDefault="00123365" w:rsidP="007F6F63">
            <w:pPr>
              <w:rPr>
                <w:rFonts w:cs="Noto Sans"/>
                <w:sz w:val="20"/>
                <w:szCs w:val="20"/>
              </w:rPr>
            </w:pPr>
            <w:r w:rsidRPr="00FF7FC3">
              <w:rPr>
                <w:rFonts w:cs="Noto Sans"/>
                <w:sz w:val="20"/>
                <w:szCs w:val="20"/>
                <w:lang w:val="en-AU"/>
              </w:rPr>
              <w:t>6. Tools and resources</w:t>
            </w:r>
          </w:p>
        </w:tc>
      </w:tr>
      <w:tr w:rsidR="00F93C5B" w:rsidRPr="00FF7FC3" w14:paraId="241FF17C" w14:textId="77777777" w:rsidTr="0082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F1E28C8" w14:textId="550757FD" w:rsidR="00F93C5B" w:rsidRPr="00FF7FC3" w:rsidRDefault="00F93C5B" w:rsidP="00086655">
            <w:pPr>
              <w:spacing w:after="0"/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Identify any existing toolkits, engagement frameworks or templates that can be adapted to support council through the planning process (for example, road infrastructure agreements)</w:t>
            </w:r>
          </w:p>
        </w:tc>
        <w:tc>
          <w:tcPr>
            <w:tcW w:w="846" w:type="dxa"/>
            <w:shd w:val="clear" w:color="auto" w:fill="E7E6E6" w:themeFill="background2"/>
          </w:tcPr>
          <w:p w14:paraId="230F7C4A" w14:textId="71DB73FF" w:rsidR="00F93C5B" w:rsidRPr="00FF7FC3" w:rsidRDefault="00F93C5B" w:rsidP="0008665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1201B4E0" w14:textId="77777777" w:rsidTr="0082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787FEA46" w14:textId="15C7729C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Include contact details or references to state agencies and support programmes</w:t>
            </w:r>
          </w:p>
        </w:tc>
        <w:tc>
          <w:tcPr>
            <w:tcW w:w="846" w:type="dxa"/>
          </w:tcPr>
          <w:p w14:paraId="5E4B8387" w14:textId="4C92B7C4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4D89BF58" w14:textId="77777777" w:rsidTr="0082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684BF41" w14:textId="1F847B27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Link to regional or state planning guidelines that proponents must consider</w:t>
            </w:r>
          </w:p>
        </w:tc>
        <w:tc>
          <w:tcPr>
            <w:tcW w:w="846" w:type="dxa"/>
            <w:shd w:val="clear" w:color="auto" w:fill="E7E6E6" w:themeFill="background2"/>
          </w:tcPr>
          <w:p w14:paraId="0DA9FE34" w14:textId="389AAAFC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48B30EF3" w14:textId="77777777" w:rsidTr="0082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02F558D8" w14:textId="38754EA6" w:rsidR="00F93C5B" w:rsidRPr="00FF7FC3" w:rsidRDefault="00F93C5B" w:rsidP="00086655">
            <w:pPr>
              <w:spacing w:after="0"/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Where applicable, include links to social impact or benefit-sharing guidance documents to assist proponents</w:t>
            </w:r>
          </w:p>
        </w:tc>
        <w:tc>
          <w:tcPr>
            <w:tcW w:w="846" w:type="dxa"/>
          </w:tcPr>
          <w:p w14:paraId="195E10B1" w14:textId="777EC1F8" w:rsidR="00F93C5B" w:rsidRPr="00FF7FC3" w:rsidRDefault="00F93C5B" w:rsidP="0008665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</w:tbl>
    <w:p w14:paraId="57DC3709" w14:textId="77777777" w:rsidR="001D4532" w:rsidRPr="00FF7FC3" w:rsidRDefault="001D4532" w:rsidP="007F6F63">
      <w:pPr>
        <w:rPr>
          <w:rFonts w:cs="Noto Sans"/>
          <w:sz w:val="20"/>
          <w:szCs w:val="20"/>
        </w:rPr>
      </w:pPr>
    </w:p>
    <w:tbl>
      <w:tblPr>
        <w:tblStyle w:val="Table-QldBlue"/>
        <w:tblW w:w="0" w:type="auto"/>
        <w:tblLook w:val="04A0" w:firstRow="1" w:lastRow="0" w:firstColumn="1" w:lastColumn="0" w:noHBand="0" w:noVBand="1"/>
      </w:tblPr>
      <w:tblGrid>
        <w:gridCol w:w="9634"/>
        <w:gridCol w:w="846"/>
      </w:tblGrid>
      <w:tr w:rsidR="00C70971" w:rsidRPr="00FF7FC3" w14:paraId="49544735" w14:textId="77777777" w:rsidTr="00800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gridSpan w:val="2"/>
          </w:tcPr>
          <w:p w14:paraId="4F1A91B2" w14:textId="47541BC6" w:rsidR="00C70971" w:rsidRPr="00FF7FC3" w:rsidRDefault="00C70971" w:rsidP="007F6F63">
            <w:pPr>
              <w:rPr>
                <w:rFonts w:cs="Noto Sans"/>
                <w:sz w:val="20"/>
                <w:szCs w:val="20"/>
              </w:rPr>
            </w:pPr>
            <w:r w:rsidRPr="00FF7FC3">
              <w:rPr>
                <w:rFonts w:cs="Noto Sans"/>
                <w:sz w:val="20"/>
                <w:szCs w:val="20"/>
                <w:lang w:val="en-AU"/>
              </w:rPr>
              <w:t>7. Communication and publication</w:t>
            </w:r>
          </w:p>
        </w:tc>
      </w:tr>
      <w:tr w:rsidR="00F93C5B" w:rsidRPr="00FF7FC3" w14:paraId="6FC86A72" w14:textId="77777777" w:rsidTr="00C70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413CAB86" w14:textId="2BC879D5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*Develop a clear and user-friendly guide for publication on the council’s website</w:t>
            </w:r>
          </w:p>
        </w:tc>
        <w:tc>
          <w:tcPr>
            <w:tcW w:w="846" w:type="dxa"/>
            <w:shd w:val="clear" w:color="auto" w:fill="E7E6E6" w:themeFill="background2"/>
          </w:tcPr>
          <w:p w14:paraId="4F8D0367" w14:textId="1678F091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3F410848" w14:textId="77777777" w:rsidTr="00C70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76A8840F" w14:textId="44F6B5CC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*Plan how to communicate the guide to proponents, the community and other stakeholders</w:t>
            </w:r>
          </w:p>
        </w:tc>
        <w:tc>
          <w:tcPr>
            <w:tcW w:w="846" w:type="dxa"/>
          </w:tcPr>
          <w:p w14:paraId="39DF1BFA" w14:textId="11DC0688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727822A3" w14:textId="77777777" w:rsidTr="00C70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CE7906B" w14:textId="47A92FA5" w:rsidR="00F93C5B" w:rsidRPr="00FF7FC3" w:rsidRDefault="00F93C5B" w:rsidP="00F93C5B">
            <w:pPr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Establish a review cycle to keep the guide current and relevant</w:t>
            </w:r>
          </w:p>
        </w:tc>
        <w:tc>
          <w:tcPr>
            <w:tcW w:w="846" w:type="dxa"/>
            <w:shd w:val="clear" w:color="auto" w:fill="E7E6E6" w:themeFill="background2"/>
          </w:tcPr>
          <w:p w14:paraId="1A9C1FAE" w14:textId="50CF58F6" w:rsidR="00F93C5B" w:rsidRPr="00FF7FC3" w:rsidRDefault="00F93C5B" w:rsidP="00F93C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  <w:tr w:rsidR="00F93C5B" w:rsidRPr="00FF7FC3" w14:paraId="606E1F6E" w14:textId="77777777" w:rsidTr="00C70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05D5AB8C" w14:textId="4095B34B" w:rsidR="00F93C5B" w:rsidRPr="00FF7FC3" w:rsidRDefault="00F93C5B" w:rsidP="00086655">
            <w:pPr>
              <w:spacing w:after="0"/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</w:pPr>
            <w:r w:rsidRPr="00FF7FC3">
              <w:rPr>
                <w:rFonts w:eastAsiaTheme="minorEastAsia" w:cs="Noto Sans"/>
                <w:b w:val="0"/>
                <w:sz w:val="20"/>
                <w:szCs w:val="20"/>
                <w:lang w:val="en-AU" w:eastAsia="en-US"/>
              </w:rPr>
              <w:t>Ensure the guide reflects any updates to statutory planning or benefit-sharing obligations and is adaptable to future reforms</w:t>
            </w:r>
          </w:p>
        </w:tc>
        <w:tc>
          <w:tcPr>
            <w:tcW w:w="846" w:type="dxa"/>
          </w:tcPr>
          <w:p w14:paraId="7122D5B9" w14:textId="0C34D461" w:rsidR="00F93C5B" w:rsidRPr="00FF7FC3" w:rsidRDefault="00F93C5B" w:rsidP="0008665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</w:rPr>
            </w:pPr>
            <w:r w:rsidRPr="00F93C5B">
              <w:rPr>
                <w:rFonts w:ascii="Wingdings" w:hAnsi="Wingdings" w:cs="Noto Sans"/>
                <w:sz w:val="20"/>
                <w:szCs w:val="20"/>
              </w:rPr>
              <w:t>¨</w:t>
            </w:r>
          </w:p>
        </w:tc>
      </w:tr>
    </w:tbl>
    <w:p w14:paraId="4DDCCF18" w14:textId="2C86BC26" w:rsidR="00CE4C87" w:rsidRPr="00FF7FC3" w:rsidRDefault="00CE4C87" w:rsidP="00CE4C87">
      <w:pPr>
        <w:rPr>
          <w:rFonts w:cs="Noto Sans"/>
          <w:i/>
          <w:sz w:val="20"/>
          <w:szCs w:val="20"/>
          <w:lang w:val="en-AU"/>
        </w:rPr>
      </w:pPr>
      <w:bookmarkStart w:id="0" w:name="_Toc209626820"/>
      <w:r w:rsidRPr="00FF7FC3">
        <w:rPr>
          <w:rFonts w:cs="Noto Sans"/>
          <w:i/>
          <w:sz w:val="20"/>
          <w:szCs w:val="20"/>
          <w:lang w:val="en-AU"/>
        </w:rPr>
        <w:t>*indicates critical question</w:t>
      </w:r>
      <w:bookmarkEnd w:id="0"/>
    </w:p>
    <w:p w14:paraId="2B019F0A" w14:textId="032A747C" w:rsidR="00CE4C87" w:rsidRDefault="00CE4C87" w:rsidP="00CE4C87">
      <w:pPr>
        <w:rPr>
          <w:rFonts w:cs="Noto Sans"/>
          <w:i/>
          <w:sz w:val="20"/>
          <w:szCs w:val="20"/>
          <w:lang w:val="en-AU"/>
        </w:rPr>
      </w:pPr>
      <w:bookmarkStart w:id="1" w:name="_Toc211343408"/>
      <w:bookmarkStart w:id="2" w:name="_Toc211341884"/>
      <w:r w:rsidRPr="00FF7FC3">
        <w:rPr>
          <w:rFonts w:cs="Noto Sans"/>
          <w:i/>
          <w:sz w:val="20"/>
          <w:szCs w:val="20"/>
          <w:lang w:val="en-AU"/>
        </w:rPr>
        <w:t>Tool</w:t>
      </w:r>
      <w:r w:rsidR="00B82614">
        <w:rPr>
          <w:rFonts w:cs="Noto Sans"/>
          <w:i/>
          <w:sz w:val="20"/>
          <w:szCs w:val="20"/>
          <w:lang w:val="en-AU"/>
        </w:rPr>
        <w:t xml:space="preserve"> 1</w:t>
      </w:r>
      <w:r w:rsidRPr="00FF7FC3">
        <w:rPr>
          <w:rFonts w:cs="Noto Sans"/>
          <w:i/>
          <w:sz w:val="20"/>
          <w:szCs w:val="20"/>
          <w:lang w:val="en-AU"/>
        </w:rPr>
        <w:t>: Developing A guide to doing business in our region checklist</w:t>
      </w:r>
      <w:bookmarkEnd w:id="1"/>
      <w:bookmarkEnd w:id="2"/>
    </w:p>
    <w:p w14:paraId="3772FFE8" w14:textId="77777777" w:rsidR="00352D31" w:rsidRPr="00352D31" w:rsidRDefault="00352D31" w:rsidP="00352D31">
      <w:pPr>
        <w:rPr>
          <w:rFonts w:cs="Noto Sans"/>
          <w:i/>
          <w:iCs/>
          <w:sz w:val="20"/>
          <w:szCs w:val="20"/>
          <w:lang w:val="en-AU"/>
        </w:rPr>
      </w:pPr>
      <w:r w:rsidRPr="00352D31">
        <w:rPr>
          <w:rFonts w:cs="Noto Sans"/>
          <w:i/>
          <w:iCs/>
          <w:sz w:val="20"/>
          <w:szCs w:val="20"/>
          <w:lang w:val="en-AU"/>
        </w:rPr>
        <w:t>This Tool and associated material is provided for information purposes only and does not provide statutory or legal advice. Users should obtain their own independent technical and legal advice.</w:t>
      </w:r>
    </w:p>
    <w:p w14:paraId="08818C58" w14:textId="77777777" w:rsidR="00352D31" w:rsidRPr="00FF7FC3" w:rsidRDefault="00352D31" w:rsidP="00CE4C87">
      <w:pPr>
        <w:rPr>
          <w:rFonts w:cs="Noto Sans"/>
          <w:i/>
          <w:sz w:val="20"/>
          <w:szCs w:val="20"/>
          <w:lang w:val="en-AU"/>
        </w:rPr>
      </w:pPr>
    </w:p>
    <w:p w14:paraId="4E7A88BE" w14:textId="77777777" w:rsidR="00CE4C87" w:rsidRPr="002E1B2E" w:rsidRDefault="00CE4C87" w:rsidP="007F6F63"/>
    <w:sectPr w:rsidR="00CE4C87" w:rsidRPr="002E1B2E" w:rsidSect="002C3A02">
      <w:footerReference w:type="default" r:id="rId11"/>
      <w:headerReference w:type="first" r:id="rId12"/>
      <w:pgSz w:w="11906" w:h="16838" w:code="9"/>
      <w:pgMar w:top="993" w:right="707" w:bottom="88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79AB" w14:textId="77777777" w:rsidR="00C6660E" w:rsidRDefault="00C6660E" w:rsidP="00190C24">
      <w:r>
        <w:separator/>
      </w:r>
    </w:p>
  </w:endnote>
  <w:endnote w:type="continuationSeparator" w:id="0">
    <w:p w14:paraId="64654CFC" w14:textId="77777777" w:rsidR="00C6660E" w:rsidRDefault="00C6660E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D35A" w14:textId="55BEFF0E" w:rsidR="00D17E7D" w:rsidRDefault="00D17E7D">
    <w:pPr>
      <w:pStyle w:val="Footer"/>
    </w:pPr>
  </w:p>
  <w:p w14:paraId="0B70DE84" w14:textId="3CCE82F2" w:rsidR="00D17E7D" w:rsidRDefault="00D17E7D">
    <w:pPr>
      <w:pStyle w:val="Footer"/>
    </w:pPr>
  </w:p>
  <w:p w14:paraId="041537FC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98CD" w14:textId="77777777" w:rsidR="00C6660E" w:rsidRDefault="00C6660E" w:rsidP="00190C24">
      <w:r>
        <w:separator/>
      </w:r>
    </w:p>
  </w:footnote>
  <w:footnote w:type="continuationSeparator" w:id="0">
    <w:p w14:paraId="46707E71" w14:textId="77777777" w:rsidR="00C6660E" w:rsidRDefault="00C6660E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8354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30F1D"/>
    <w:multiLevelType w:val="hybridMultilevel"/>
    <w:tmpl w:val="985C8F60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231BE3"/>
    <w:multiLevelType w:val="hybridMultilevel"/>
    <w:tmpl w:val="0BA29E74"/>
    <w:lvl w:ilvl="0" w:tplc="42E6D9C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47507"/>
    <w:multiLevelType w:val="hybridMultilevel"/>
    <w:tmpl w:val="CBDAE6D2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4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7"/>
  </w:num>
  <w:num w:numId="6" w16cid:durableId="1022130639">
    <w:abstractNumId w:val="6"/>
  </w:num>
  <w:num w:numId="7" w16cid:durableId="1282805254">
    <w:abstractNumId w:val="2"/>
  </w:num>
  <w:num w:numId="8" w16cid:durableId="449936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E4"/>
    <w:rsid w:val="00003124"/>
    <w:rsid w:val="00005E82"/>
    <w:rsid w:val="00007985"/>
    <w:rsid w:val="000163E8"/>
    <w:rsid w:val="0002155B"/>
    <w:rsid w:val="000425F7"/>
    <w:rsid w:val="000436FC"/>
    <w:rsid w:val="0005471A"/>
    <w:rsid w:val="00066E58"/>
    <w:rsid w:val="00086655"/>
    <w:rsid w:val="000A4707"/>
    <w:rsid w:val="000B4AD5"/>
    <w:rsid w:val="000B5D63"/>
    <w:rsid w:val="000B61AC"/>
    <w:rsid w:val="000C6874"/>
    <w:rsid w:val="000E1223"/>
    <w:rsid w:val="000F1661"/>
    <w:rsid w:val="000F4E58"/>
    <w:rsid w:val="000F7FDE"/>
    <w:rsid w:val="001000FC"/>
    <w:rsid w:val="00101904"/>
    <w:rsid w:val="0011122C"/>
    <w:rsid w:val="001206C4"/>
    <w:rsid w:val="001222EA"/>
    <w:rsid w:val="00123365"/>
    <w:rsid w:val="00131598"/>
    <w:rsid w:val="00134EFF"/>
    <w:rsid w:val="00136F9B"/>
    <w:rsid w:val="00143EAF"/>
    <w:rsid w:val="0014521E"/>
    <w:rsid w:val="001829CD"/>
    <w:rsid w:val="00190C24"/>
    <w:rsid w:val="001C11D2"/>
    <w:rsid w:val="001C43F0"/>
    <w:rsid w:val="001D4532"/>
    <w:rsid w:val="001E70C7"/>
    <w:rsid w:val="001E70E9"/>
    <w:rsid w:val="001F2B12"/>
    <w:rsid w:val="001F3A36"/>
    <w:rsid w:val="00227C27"/>
    <w:rsid w:val="002371F7"/>
    <w:rsid w:val="0024520B"/>
    <w:rsid w:val="002706E8"/>
    <w:rsid w:val="00273E87"/>
    <w:rsid w:val="002A3134"/>
    <w:rsid w:val="002A4604"/>
    <w:rsid w:val="002B15E5"/>
    <w:rsid w:val="002B5219"/>
    <w:rsid w:val="002B5A84"/>
    <w:rsid w:val="002B6E26"/>
    <w:rsid w:val="002B7607"/>
    <w:rsid w:val="002C3A02"/>
    <w:rsid w:val="002C47FC"/>
    <w:rsid w:val="002D2D4F"/>
    <w:rsid w:val="002E1B2E"/>
    <w:rsid w:val="002E3E34"/>
    <w:rsid w:val="002F68FF"/>
    <w:rsid w:val="002F78A2"/>
    <w:rsid w:val="00320670"/>
    <w:rsid w:val="0032212E"/>
    <w:rsid w:val="00325C96"/>
    <w:rsid w:val="00337EAA"/>
    <w:rsid w:val="00352D31"/>
    <w:rsid w:val="003535F0"/>
    <w:rsid w:val="00355E78"/>
    <w:rsid w:val="0036058D"/>
    <w:rsid w:val="0036506A"/>
    <w:rsid w:val="00375B87"/>
    <w:rsid w:val="0038096F"/>
    <w:rsid w:val="00385A56"/>
    <w:rsid w:val="00396D5E"/>
    <w:rsid w:val="003975D2"/>
    <w:rsid w:val="003A78AB"/>
    <w:rsid w:val="003B361F"/>
    <w:rsid w:val="003C33FE"/>
    <w:rsid w:val="003D33F7"/>
    <w:rsid w:val="003D540F"/>
    <w:rsid w:val="003E5C52"/>
    <w:rsid w:val="003F05E4"/>
    <w:rsid w:val="003F643A"/>
    <w:rsid w:val="00402CFC"/>
    <w:rsid w:val="00403EF1"/>
    <w:rsid w:val="00404BCA"/>
    <w:rsid w:val="00416A49"/>
    <w:rsid w:val="0043494D"/>
    <w:rsid w:val="00437B39"/>
    <w:rsid w:val="00442FE1"/>
    <w:rsid w:val="004468D2"/>
    <w:rsid w:val="004562DA"/>
    <w:rsid w:val="00476A07"/>
    <w:rsid w:val="00493A2C"/>
    <w:rsid w:val="0049689A"/>
    <w:rsid w:val="004A5E19"/>
    <w:rsid w:val="004B4514"/>
    <w:rsid w:val="004E5A25"/>
    <w:rsid w:val="004E62A1"/>
    <w:rsid w:val="005017F7"/>
    <w:rsid w:val="00512253"/>
    <w:rsid w:val="00540992"/>
    <w:rsid w:val="00543A32"/>
    <w:rsid w:val="00555585"/>
    <w:rsid w:val="0055582F"/>
    <w:rsid w:val="00555C3B"/>
    <w:rsid w:val="0056306F"/>
    <w:rsid w:val="005A28EB"/>
    <w:rsid w:val="005B0EC5"/>
    <w:rsid w:val="005B79A8"/>
    <w:rsid w:val="005C68D9"/>
    <w:rsid w:val="005E164F"/>
    <w:rsid w:val="005E6E10"/>
    <w:rsid w:val="005E7931"/>
    <w:rsid w:val="005F4331"/>
    <w:rsid w:val="005F7E6D"/>
    <w:rsid w:val="00601278"/>
    <w:rsid w:val="00611CB5"/>
    <w:rsid w:val="0062040F"/>
    <w:rsid w:val="006239A5"/>
    <w:rsid w:val="00636B71"/>
    <w:rsid w:val="006420CC"/>
    <w:rsid w:val="00642546"/>
    <w:rsid w:val="00646AE8"/>
    <w:rsid w:val="00672747"/>
    <w:rsid w:val="00683EA6"/>
    <w:rsid w:val="00697AB1"/>
    <w:rsid w:val="006B4A48"/>
    <w:rsid w:val="006C3D8E"/>
    <w:rsid w:val="006E2D5A"/>
    <w:rsid w:val="006F0011"/>
    <w:rsid w:val="006F1B8A"/>
    <w:rsid w:val="00714617"/>
    <w:rsid w:val="007274E7"/>
    <w:rsid w:val="00735EBA"/>
    <w:rsid w:val="0074228C"/>
    <w:rsid w:val="00792FC7"/>
    <w:rsid w:val="007B4E7E"/>
    <w:rsid w:val="007D023E"/>
    <w:rsid w:val="007D0BEA"/>
    <w:rsid w:val="007D3462"/>
    <w:rsid w:val="007F58FC"/>
    <w:rsid w:val="007F6F63"/>
    <w:rsid w:val="00800BC0"/>
    <w:rsid w:val="0080579A"/>
    <w:rsid w:val="0081698A"/>
    <w:rsid w:val="008171D4"/>
    <w:rsid w:val="008251F5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96DB5"/>
    <w:rsid w:val="008A4FA7"/>
    <w:rsid w:val="008A7AFC"/>
    <w:rsid w:val="008F02C9"/>
    <w:rsid w:val="00907963"/>
    <w:rsid w:val="00911210"/>
    <w:rsid w:val="009222D8"/>
    <w:rsid w:val="009308AE"/>
    <w:rsid w:val="00931647"/>
    <w:rsid w:val="00936613"/>
    <w:rsid w:val="00956995"/>
    <w:rsid w:val="00956BEE"/>
    <w:rsid w:val="00960247"/>
    <w:rsid w:val="0096078C"/>
    <w:rsid w:val="0096595E"/>
    <w:rsid w:val="009659AB"/>
    <w:rsid w:val="0098082F"/>
    <w:rsid w:val="009A1A9A"/>
    <w:rsid w:val="009A5056"/>
    <w:rsid w:val="009A7275"/>
    <w:rsid w:val="009B7893"/>
    <w:rsid w:val="009C3A68"/>
    <w:rsid w:val="009C4E8D"/>
    <w:rsid w:val="009E5EE5"/>
    <w:rsid w:val="009F02B3"/>
    <w:rsid w:val="00A10BB9"/>
    <w:rsid w:val="00A25FB3"/>
    <w:rsid w:val="00A365CB"/>
    <w:rsid w:val="00A36618"/>
    <w:rsid w:val="00A37A8D"/>
    <w:rsid w:val="00A40883"/>
    <w:rsid w:val="00A47F67"/>
    <w:rsid w:val="00A503C9"/>
    <w:rsid w:val="00A51AEA"/>
    <w:rsid w:val="00A57B78"/>
    <w:rsid w:val="00A64105"/>
    <w:rsid w:val="00A65710"/>
    <w:rsid w:val="00A86680"/>
    <w:rsid w:val="00AB0A25"/>
    <w:rsid w:val="00AC555D"/>
    <w:rsid w:val="00AD2501"/>
    <w:rsid w:val="00AD5F26"/>
    <w:rsid w:val="00AE022D"/>
    <w:rsid w:val="00AF7DD9"/>
    <w:rsid w:val="00B010DD"/>
    <w:rsid w:val="00B04635"/>
    <w:rsid w:val="00B30EA8"/>
    <w:rsid w:val="00B33337"/>
    <w:rsid w:val="00B613E4"/>
    <w:rsid w:val="00B70170"/>
    <w:rsid w:val="00B73578"/>
    <w:rsid w:val="00B77303"/>
    <w:rsid w:val="00B82614"/>
    <w:rsid w:val="00B8699D"/>
    <w:rsid w:val="00B9771E"/>
    <w:rsid w:val="00BC4AA9"/>
    <w:rsid w:val="00BC6556"/>
    <w:rsid w:val="00BD0B8E"/>
    <w:rsid w:val="00BD0F68"/>
    <w:rsid w:val="00BD1BE9"/>
    <w:rsid w:val="00BD2974"/>
    <w:rsid w:val="00BD6A06"/>
    <w:rsid w:val="00C07E26"/>
    <w:rsid w:val="00C14519"/>
    <w:rsid w:val="00C31759"/>
    <w:rsid w:val="00C33A93"/>
    <w:rsid w:val="00C51A70"/>
    <w:rsid w:val="00C51D08"/>
    <w:rsid w:val="00C6660E"/>
    <w:rsid w:val="00C70971"/>
    <w:rsid w:val="00C75C2F"/>
    <w:rsid w:val="00CA66DC"/>
    <w:rsid w:val="00CB07AD"/>
    <w:rsid w:val="00CB609F"/>
    <w:rsid w:val="00CB730F"/>
    <w:rsid w:val="00CC3107"/>
    <w:rsid w:val="00CC4FD0"/>
    <w:rsid w:val="00CC7632"/>
    <w:rsid w:val="00CD57A1"/>
    <w:rsid w:val="00CD793C"/>
    <w:rsid w:val="00CE4C87"/>
    <w:rsid w:val="00CE5188"/>
    <w:rsid w:val="00D01CD2"/>
    <w:rsid w:val="00D13431"/>
    <w:rsid w:val="00D154D4"/>
    <w:rsid w:val="00D17E6A"/>
    <w:rsid w:val="00D17E7D"/>
    <w:rsid w:val="00D23470"/>
    <w:rsid w:val="00D412BA"/>
    <w:rsid w:val="00D42195"/>
    <w:rsid w:val="00D517B3"/>
    <w:rsid w:val="00D75050"/>
    <w:rsid w:val="00D766C3"/>
    <w:rsid w:val="00D842DF"/>
    <w:rsid w:val="00D94442"/>
    <w:rsid w:val="00D97D89"/>
    <w:rsid w:val="00DC5E03"/>
    <w:rsid w:val="00DD10A1"/>
    <w:rsid w:val="00DD5973"/>
    <w:rsid w:val="00DE1E49"/>
    <w:rsid w:val="00DF2836"/>
    <w:rsid w:val="00E132CA"/>
    <w:rsid w:val="00E3336E"/>
    <w:rsid w:val="00E42000"/>
    <w:rsid w:val="00E441D6"/>
    <w:rsid w:val="00E47FB8"/>
    <w:rsid w:val="00E872C5"/>
    <w:rsid w:val="00EA2EFC"/>
    <w:rsid w:val="00EA49B2"/>
    <w:rsid w:val="00ED1657"/>
    <w:rsid w:val="00EF474F"/>
    <w:rsid w:val="00EF4AC5"/>
    <w:rsid w:val="00EF78AC"/>
    <w:rsid w:val="00F04375"/>
    <w:rsid w:val="00F16981"/>
    <w:rsid w:val="00F359EF"/>
    <w:rsid w:val="00F367B3"/>
    <w:rsid w:val="00F37CA9"/>
    <w:rsid w:val="00F43573"/>
    <w:rsid w:val="00F43C57"/>
    <w:rsid w:val="00F447A2"/>
    <w:rsid w:val="00F52B68"/>
    <w:rsid w:val="00F5707D"/>
    <w:rsid w:val="00F57B0B"/>
    <w:rsid w:val="00F81184"/>
    <w:rsid w:val="00F93C5B"/>
    <w:rsid w:val="00FA47EF"/>
    <w:rsid w:val="00FE1554"/>
    <w:rsid w:val="00FE210B"/>
    <w:rsid w:val="00FE6C82"/>
    <w:rsid w:val="00FF2020"/>
    <w:rsid w:val="00FF537C"/>
    <w:rsid w:val="00FF696B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DE0CA"/>
  <w15:chartTrackingRefBased/>
  <w15:docId w15:val="{9244EF79-8FAC-4CB6-9354-E21ACB7D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00BC0"/>
    <w:pPr>
      <w:spacing w:after="200" w:line="276" w:lineRule="auto"/>
    </w:pPr>
    <w:rPr>
      <w:rFonts w:ascii="Noto Sans" w:hAnsi="Noto Sans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,Recommendation,List Paragraph1,List Paragraph11,Bullet point,Bullet Point,L,Bullet points,Content descriptions,List Paragraph111,F5 List Paragraph,Dot pt,CV text,Medium Grid 1 - Accent 21,Numbered Paragraph,No Spacing1,列出段落,列"/>
    <w:basedOn w:val="Normal"/>
    <w:link w:val="ListParagraphChar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FF537C"/>
    <w:rPr>
      <w:rFonts w:ascii="Noto Sans" w:eastAsia="Times New Roman" w:hAnsi="Noto Sans" w:cs="Times New Roman"/>
      <w:sz w:val="22"/>
      <w:szCs w:val="20"/>
      <w:lang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table" w:customStyle="1" w:styleId="Table-QldMaroon">
    <w:name w:val="Table - Qld Maroon"/>
    <w:basedOn w:val="TableNormal"/>
    <w:rsid w:val="002E1B2E"/>
    <w:pPr>
      <w:spacing w:afterLines="50" w:after="50" w:line="240" w:lineRule="atLeast"/>
    </w:pPr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05325F" w:themeColor="text2"/>
        <w:left w:val="single" w:sz="4" w:space="0" w:color="05325F" w:themeColor="text2"/>
        <w:bottom w:val="single" w:sz="4" w:space="0" w:color="05325F" w:themeColor="text2"/>
        <w:right w:val="single" w:sz="4" w:space="0" w:color="05325F" w:themeColor="text2"/>
        <w:insideH w:val="single" w:sz="4" w:space="0" w:color="05325F" w:themeColor="text2"/>
        <w:insideV w:val="single" w:sz="4" w:space="0" w:color="05325F" w:themeColor="text2"/>
      </w:tblBorders>
      <w:tblCellMar>
        <w:top w:w="57" w:type="dxa"/>
        <w:left w:w="119" w:type="dxa"/>
        <w:bottom w:w="28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 w:val="0"/>
        <w:color w:val="FFFFFF"/>
        <w:sz w:val="24"/>
      </w:rPr>
      <w:tblPr/>
      <w:tcPr>
        <w:shd w:val="clear" w:color="auto" w:fill="A70240"/>
      </w:tcPr>
    </w:tblStylePr>
    <w:tblStylePr w:type="lastRow">
      <w:tblPr/>
      <w:tcPr>
        <w:tcBorders>
          <w:top w:val="single" w:sz="4" w:space="0" w:color="005EB8" w:themeColor="text1"/>
          <w:left w:val="single" w:sz="4" w:space="0" w:color="005EB8" w:themeColor="text1"/>
          <w:bottom w:val="single" w:sz="4" w:space="0" w:color="005EB8" w:themeColor="text1"/>
          <w:right w:val="single" w:sz="4" w:space="0" w:color="005EB8" w:themeColor="text1"/>
          <w:insideH w:val="single" w:sz="4" w:space="0" w:color="005EB8" w:themeColor="text1"/>
          <w:insideV w:val="single" w:sz="4" w:space="0" w:color="005EB8" w:themeColor="text1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0">
    <w:name w:val="Table Text"/>
    <w:basedOn w:val="Normal"/>
    <w:uiPriority w:val="14"/>
    <w:qFormat/>
    <w:rsid w:val="002E1B2E"/>
    <w:pPr>
      <w:spacing w:before="60" w:afterLines="50" w:after="60"/>
    </w:pPr>
    <w:rPr>
      <w:rFonts w:ascii="Calibri" w:hAnsi="Calibri"/>
      <w:color w:val="70AD47" w:themeColor="accent6"/>
      <w:szCs w:val="18"/>
    </w:rPr>
  </w:style>
  <w:style w:type="paragraph" w:customStyle="1" w:styleId="TableTextbold">
    <w:name w:val="Table Text bold"/>
    <w:basedOn w:val="Normal"/>
    <w:uiPriority w:val="17"/>
    <w:qFormat/>
    <w:rsid w:val="002E1B2E"/>
    <w:pPr>
      <w:spacing w:before="60" w:afterLines="50" w:after="60"/>
    </w:pPr>
    <w:rPr>
      <w:rFonts w:ascii="Calibri" w:hAnsi="Calibri"/>
      <w:b/>
      <w:color w:val="70AD47" w:themeColor="accent6"/>
      <w:szCs w:val="18"/>
    </w:rPr>
  </w:style>
  <w:style w:type="table" w:styleId="TableGridLight">
    <w:name w:val="Grid Table Light"/>
    <w:basedOn w:val="TableNormal"/>
    <w:uiPriority w:val="40"/>
    <w:rsid w:val="002E1B2E"/>
    <w:pPr>
      <w:spacing w:before="60" w:afterLines="50" w:after="50" w:line="240" w:lineRule="atLeast"/>
    </w:pPr>
    <w:rPr>
      <w:rFonts w:ascii="Arial" w:hAnsi="Arial"/>
      <w:sz w:val="18"/>
      <w:szCs w:val="18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firstRow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ullet copy Char,Recommendation Char,List Paragraph1 Char,List Paragraph11 Char,Bullet point Char,Bullet Point Char,L Char,Bullet points Char,Content descriptions Char,List Paragraph111 Char,F5 List Paragraph Char,Dot pt Char,列 Char"/>
    <w:basedOn w:val="DefaultParagraphFont"/>
    <w:link w:val="ListParagraph"/>
    <w:uiPriority w:val="34"/>
    <w:qFormat/>
    <w:locked/>
    <w:rsid w:val="002E1B2E"/>
    <w:rPr>
      <w:rFonts w:ascii="Noto Sans" w:eastAsiaTheme="minorEastAsia" w:hAnsi="Noto Sans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25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C9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C96"/>
    <w:rPr>
      <w:b/>
      <w:bCs/>
      <w:sz w:val="20"/>
      <w:szCs w:val="20"/>
      <w:lang w:val="en-US"/>
    </w:rPr>
  </w:style>
  <w:style w:type="table" w:styleId="PlainTable1">
    <w:name w:val="Plain Table 1"/>
    <w:basedOn w:val="TableNormal"/>
    <w:uiPriority w:val="41"/>
    <w:rsid w:val="00EA49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Elliott\AppData\Local\Microsoft\Windows\INetCache\Content.Outlook\Y0SL7FYS\deliverqld-word-template-noto-a4p%20(002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a68a42-6060-4a8a-8388-874fb934d63e"/>
    <lcf76f155ced4ddcb4097134ff3c332f xmlns="85201a09-9c36-48eb-beaa-ddc8781c71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BC417E613E6489902050FEC6C41D7" ma:contentTypeVersion="16" ma:contentTypeDescription="Create a new document." ma:contentTypeScope="" ma:versionID="16bf8d701c3b708f8332a283ad9b1623">
  <xsd:schema xmlns:xsd="http://www.w3.org/2001/XMLSchema" xmlns:xs="http://www.w3.org/2001/XMLSchema" xmlns:p="http://schemas.microsoft.com/office/2006/metadata/properties" xmlns:ns2="85201a09-9c36-48eb-beaa-ddc8781c7165" xmlns:ns3="91a68a42-6060-4a8a-8388-874fb934d63e" targetNamespace="http://schemas.microsoft.com/office/2006/metadata/properties" ma:root="true" ma:fieldsID="94ef62f68f53dc395dfe56a6d08a883d" ns2:_="" ns3:_="">
    <xsd:import namespace="85201a09-9c36-48eb-beaa-ddc8781c7165"/>
    <xsd:import namespace="91a68a42-6060-4a8a-8388-874fb934d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1a09-9c36-48eb-beaa-ddc8781c7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e7e143e-f671-4e9b-91fb-41d87af1a9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68a42-6060-4a8a-8388-874fb934d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16edf3-1c83-499f-9f17-4f9068e9764e}" ma:internalName="TaxCatchAll" ma:showField="CatchAllData" ma:web="91a68a42-6060-4a8a-8388-874fb934d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91a68a42-6060-4a8a-8388-874fb934d63e"/>
    <ds:schemaRef ds:uri="85201a09-9c36-48eb-beaa-ddc8781c7165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D9812-110D-4725-8834-D25B62954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01a09-9c36-48eb-beaa-ddc8781c7165"/>
    <ds:schemaRef ds:uri="91a68a42-6060-4a8a-8388-874fb934d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deliverqld-word-template-noto-a4p (002)</Template>
  <TotalTime>0</TotalTime>
  <Pages>3</Pages>
  <Words>443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Elliott</dc:creator>
  <cp:keywords/>
  <dc:description/>
  <cp:lastModifiedBy>Fiona Bowden</cp:lastModifiedBy>
  <cp:revision>6</cp:revision>
  <cp:lastPrinted>2025-08-07T22:04:00Z</cp:lastPrinted>
  <dcterms:created xsi:type="dcterms:W3CDTF">2025-10-20T04:34:00Z</dcterms:created>
  <dcterms:modified xsi:type="dcterms:W3CDTF">2025-10-21T07:13:00Z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0x010100536BC417E613E6489902050FEC6C41D7</vt:lpwstr>
  </property>
  <property fmtid="{D5CDD505-2E9C-101B-9397-08002B2CF9AE}" pid="3" name="_dlc_DocIdItemGuid">
    <vt:lpwstr>f69908d3-a933-4bd6-8b4a-e061db0b5259</vt:lpwstr>
  </property>
  <property fmtid="{D5CDD505-2E9C-101B-9397-08002B2CF9AE}" pid="4" name="MediaServiceImageTags">
    <vt:lpwstr/>
  </property>
  <property fmtid="{D5CDD505-2E9C-101B-9397-08002B2CF9AE}" pid="5" name="GrammarlyDocumentId">
    <vt:lpwstr>bf35f4a1-f195-40b5-84e6-6a30f4a7d4d5</vt:lpwstr>
  </property>
</Properties>
</file>