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9709" w14:textId="3E7541B1" w:rsidR="004C5128" w:rsidRDefault="004C5128" w:rsidP="004C5128">
      <w:pPr>
        <w:pStyle w:val="UltraHeading"/>
      </w:pPr>
      <w:r w:rsidRPr="004C5128">
        <w:t>Tool</w:t>
      </w:r>
      <w:r w:rsidR="006D2E38">
        <w:t xml:space="preserve"> 5</w:t>
      </w:r>
      <w:r w:rsidRPr="004C5128">
        <w:t>: Developing community legacy benefits checklist</w:t>
      </w:r>
    </w:p>
    <w:p w14:paraId="45BDC990" w14:textId="77777777" w:rsidR="0034045C" w:rsidRDefault="0034045C" w:rsidP="0034045C">
      <w:pPr>
        <w:rPr>
          <w:rFonts w:cs="Noto Sans"/>
          <w:sz w:val="20"/>
          <w:szCs w:val="20"/>
          <w:lang w:val="en-AU"/>
        </w:rPr>
      </w:pPr>
    </w:p>
    <w:p w14:paraId="46492810" w14:textId="77777777" w:rsidR="00EC0D82" w:rsidRPr="00EC0D82" w:rsidRDefault="00EC0D82" w:rsidP="00EC0D82">
      <w:pPr>
        <w:rPr>
          <w:rFonts w:cs="Noto Sans"/>
          <w:sz w:val="20"/>
          <w:szCs w:val="20"/>
          <w:lang w:val="en-AU"/>
        </w:rPr>
      </w:pPr>
    </w:p>
    <w:tbl>
      <w:tblPr>
        <w:tblStyle w:val="Table-QldBlue"/>
        <w:tblW w:w="0" w:type="auto"/>
        <w:tblLook w:val="04A0" w:firstRow="1" w:lastRow="0" w:firstColumn="1" w:lastColumn="0" w:noHBand="0" w:noVBand="1"/>
      </w:tblPr>
      <w:tblGrid>
        <w:gridCol w:w="9493"/>
        <w:gridCol w:w="987"/>
      </w:tblGrid>
      <w:tr w:rsidR="009D20BF" w14:paraId="38CFFD72" w14:textId="77777777" w:rsidTr="00B40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14:paraId="036AF1EF" w14:textId="54D6A847" w:rsidR="009D20BF" w:rsidRPr="001446F5" w:rsidRDefault="009D20BF" w:rsidP="009B0F7B">
            <w:pPr>
              <w:rPr>
                <w:rFonts w:cs="Noto Sans"/>
                <w:sz w:val="20"/>
                <w:szCs w:val="20"/>
                <w:lang w:val="en-AU"/>
              </w:rPr>
            </w:pPr>
            <w:r w:rsidRPr="001446F5">
              <w:rPr>
                <w:rFonts w:cs="Noto Sans"/>
                <w:sz w:val="20"/>
                <w:szCs w:val="20"/>
                <w:lang w:val="en-AU"/>
              </w:rPr>
              <w:t>1. Community priorities and vision</w:t>
            </w:r>
          </w:p>
        </w:tc>
      </w:tr>
      <w:tr w:rsidR="009D20BF" w14:paraId="777CB61D" w14:textId="77777777" w:rsidTr="009D20BF">
        <w:tc>
          <w:tcPr>
            <w:cnfStyle w:val="001000000000" w:firstRow="0" w:lastRow="0" w:firstColumn="1" w:lastColumn="0" w:oddVBand="0" w:evenVBand="0" w:oddHBand="0" w:evenHBand="0" w:firstRowFirstColumn="0" w:firstRowLastColumn="0" w:lastRowFirstColumn="0" w:lastRowLastColumn="0"/>
            <w:tcW w:w="10480" w:type="dxa"/>
            <w:gridSpan w:val="2"/>
            <w:shd w:val="clear" w:color="auto" w:fill="005EB8" w:themeFill="text1"/>
          </w:tcPr>
          <w:p w14:paraId="579E85B8" w14:textId="06636150" w:rsidR="009D20BF" w:rsidRPr="001446F5" w:rsidRDefault="009D20BF" w:rsidP="009B0F7B">
            <w:pPr>
              <w:rPr>
                <w:rFonts w:cs="Noto Sans"/>
                <w:b w:val="0"/>
                <w:color w:val="FFFFFF" w:themeColor="background1"/>
                <w:sz w:val="20"/>
                <w:szCs w:val="20"/>
                <w:lang w:val="en-AU"/>
              </w:rPr>
            </w:pPr>
            <w:r w:rsidRPr="001446F5">
              <w:rPr>
                <w:rFonts w:cs="Noto Sans"/>
                <w:color w:val="FFFFFF" w:themeColor="background1"/>
                <w:sz w:val="20"/>
                <w:szCs w:val="20"/>
                <w:lang w:val="en-AU"/>
              </w:rPr>
              <w:t>Why it matters:</w:t>
            </w:r>
            <w:r w:rsidRPr="001446F5">
              <w:rPr>
                <w:rFonts w:cs="Noto Sans"/>
                <w:b w:val="0"/>
                <w:color w:val="FFFFFF" w:themeColor="background1"/>
                <w:sz w:val="20"/>
                <w:szCs w:val="20"/>
                <w:lang w:val="en-AU"/>
              </w:rPr>
              <w:t xml:space="preserve"> aligning legacy benefits with existing community vision ensures benefits are relevant, deliverable and sustainable</w:t>
            </w:r>
          </w:p>
        </w:tc>
      </w:tr>
      <w:tr w:rsidR="003C2B38" w14:paraId="7439B45E" w14:textId="77777777" w:rsidTr="00BD5993">
        <w:tc>
          <w:tcPr>
            <w:cnfStyle w:val="001000000000" w:firstRow="0" w:lastRow="0" w:firstColumn="1" w:lastColumn="0" w:oddVBand="0" w:evenVBand="0" w:oddHBand="0" w:evenHBand="0" w:firstRowFirstColumn="0" w:firstRowLastColumn="0" w:lastRowFirstColumn="0" w:lastRowLastColumn="0"/>
            <w:tcW w:w="9493" w:type="dxa"/>
          </w:tcPr>
          <w:p w14:paraId="1E3ACAEB" w14:textId="30941D2D" w:rsidR="003C2B38" w:rsidRPr="001446F5" w:rsidRDefault="003C2B38" w:rsidP="003C2B38">
            <w:pPr>
              <w:rPr>
                <w:rFonts w:cs="Noto Sans"/>
                <w:b w:val="0"/>
                <w:sz w:val="20"/>
                <w:szCs w:val="20"/>
                <w:lang w:val="en-AU"/>
              </w:rPr>
            </w:pPr>
            <w:r w:rsidRPr="001446F5">
              <w:rPr>
                <w:rFonts w:cs="Noto Sans"/>
                <w:b w:val="0"/>
                <w:sz w:val="20"/>
                <w:szCs w:val="20"/>
                <w:lang w:val="en-AU"/>
              </w:rPr>
              <w:t>Review council’s strategic plans, community vision statements and regional and local priorities</w:t>
            </w:r>
          </w:p>
        </w:tc>
        <w:tc>
          <w:tcPr>
            <w:tcW w:w="987" w:type="dxa"/>
            <w:shd w:val="clear" w:color="auto" w:fill="E7E6E6" w:themeFill="background2"/>
          </w:tcPr>
          <w:p w14:paraId="50875E4E" w14:textId="75A6B72A" w:rsidR="003C2B38" w:rsidRDefault="003C2B38" w:rsidP="003C2B38">
            <w:pPr>
              <w:jc w:val="center"/>
              <w:cnfStyle w:val="000000000000" w:firstRow="0" w:lastRow="0" w:firstColumn="0" w:lastColumn="0" w:oddVBand="0" w:evenVBand="0" w:oddHBand="0" w:evenHBand="0" w:firstRowFirstColumn="0" w:firstRowLastColumn="0" w:lastRowFirstColumn="0" w:lastRowLastColumn="0"/>
              <w:rPr>
                <w:rFonts w:cs="Noto Sans"/>
                <w:bCs/>
                <w:sz w:val="20"/>
                <w:szCs w:val="20"/>
                <w:lang w:val="en-AU"/>
              </w:rPr>
            </w:pPr>
            <w:r w:rsidRPr="00F04375">
              <w:rPr>
                <w:rFonts w:ascii="Wingdings" w:hAnsi="Wingdings" w:cs="Noto Sans"/>
              </w:rPr>
              <w:t>¨</w:t>
            </w:r>
          </w:p>
        </w:tc>
      </w:tr>
      <w:tr w:rsidR="003C2B38" w14:paraId="36BF1F94" w14:textId="77777777" w:rsidTr="00BD5993">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64C978C6" w14:textId="3D30186C" w:rsidR="003C2B38" w:rsidRPr="001446F5" w:rsidRDefault="003C2B38" w:rsidP="003C2B38">
            <w:pPr>
              <w:rPr>
                <w:rFonts w:cs="Noto Sans"/>
                <w:b w:val="0"/>
                <w:sz w:val="20"/>
                <w:szCs w:val="20"/>
                <w:lang w:val="en-AU"/>
              </w:rPr>
            </w:pPr>
            <w:r w:rsidRPr="001446F5">
              <w:rPr>
                <w:rFonts w:cs="Noto Sans"/>
                <w:b w:val="0"/>
                <w:sz w:val="20"/>
                <w:szCs w:val="20"/>
                <w:lang w:val="en-AU"/>
              </w:rPr>
              <w:t>Identify key social, environmental and economic challenges facing the community</w:t>
            </w:r>
          </w:p>
        </w:tc>
        <w:tc>
          <w:tcPr>
            <w:tcW w:w="987" w:type="dxa"/>
          </w:tcPr>
          <w:p w14:paraId="202B433C" w14:textId="17CDC14B" w:rsidR="003C2B38" w:rsidRDefault="003C2B38" w:rsidP="003C2B38">
            <w:pPr>
              <w:jc w:val="center"/>
              <w:cnfStyle w:val="000000000000" w:firstRow="0" w:lastRow="0" w:firstColumn="0" w:lastColumn="0" w:oddVBand="0" w:evenVBand="0" w:oddHBand="0" w:evenHBand="0" w:firstRowFirstColumn="0" w:firstRowLastColumn="0" w:lastRowFirstColumn="0" w:lastRowLastColumn="0"/>
              <w:rPr>
                <w:rFonts w:cs="Noto Sans"/>
                <w:bCs/>
                <w:sz w:val="20"/>
                <w:szCs w:val="20"/>
                <w:lang w:val="en-AU"/>
              </w:rPr>
            </w:pPr>
            <w:r w:rsidRPr="00F04375">
              <w:rPr>
                <w:rFonts w:ascii="Wingdings" w:hAnsi="Wingdings" w:cs="Noto Sans"/>
              </w:rPr>
              <w:t>¨</w:t>
            </w:r>
          </w:p>
        </w:tc>
      </w:tr>
      <w:tr w:rsidR="003C2B38" w14:paraId="41C68407" w14:textId="77777777" w:rsidTr="00BD5993">
        <w:tc>
          <w:tcPr>
            <w:cnfStyle w:val="001000000000" w:firstRow="0" w:lastRow="0" w:firstColumn="1" w:lastColumn="0" w:oddVBand="0" w:evenVBand="0" w:oddHBand="0" w:evenHBand="0" w:firstRowFirstColumn="0" w:firstRowLastColumn="0" w:lastRowFirstColumn="0" w:lastRowLastColumn="0"/>
            <w:tcW w:w="9493" w:type="dxa"/>
          </w:tcPr>
          <w:p w14:paraId="5D2B2EE1" w14:textId="7925AF3D" w:rsidR="003C2B38" w:rsidRPr="001446F5" w:rsidRDefault="003C2B38" w:rsidP="003C2B38">
            <w:pPr>
              <w:rPr>
                <w:rFonts w:cs="Noto Sans"/>
                <w:b w:val="0"/>
                <w:sz w:val="20"/>
                <w:szCs w:val="20"/>
                <w:lang w:val="en-AU"/>
              </w:rPr>
            </w:pPr>
            <w:r w:rsidRPr="001446F5">
              <w:rPr>
                <w:rFonts w:cs="Noto Sans"/>
                <w:b w:val="0"/>
                <w:sz w:val="20"/>
                <w:szCs w:val="20"/>
                <w:lang w:val="en-AU"/>
              </w:rPr>
              <w:t>Consider how community benefit expectations might change over time (for example, with population growth or new industries)</w:t>
            </w:r>
          </w:p>
        </w:tc>
        <w:tc>
          <w:tcPr>
            <w:tcW w:w="987" w:type="dxa"/>
            <w:shd w:val="clear" w:color="auto" w:fill="E7E6E6" w:themeFill="background2"/>
          </w:tcPr>
          <w:p w14:paraId="5CB25DD4" w14:textId="4B7D179D" w:rsidR="003C2B38" w:rsidRDefault="003C2B38" w:rsidP="003C2B38">
            <w:pPr>
              <w:jc w:val="center"/>
              <w:cnfStyle w:val="000000000000" w:firstRow="0" w:lastRow="0" w:firstColumn="0" w:lastColumn="0" w:oddVBand="0" w:evenVBand="0" w:oddHBand="0" w:evenHBand="0" w:firstRowFirstColumn="0" w:firstRowLastColumn="0" w:lastRowFirstColumn="0" w:lastRowLastColumn="0"/>
              <w:rPr>
                <w:rFonts w:cs="Noto Sans"/>
                <w:bCs/>
                <w:sz w:val="20"/>
                <w:szCs w:val="20"/>
                <w:lang w:val="en-AU"/>
              </w:rPr>
            </w:pPr>
            <w:r w:rsidRPr="00F04375">
              <w:rPr>
                <w:rFonts w:ascii="Wingdings" w:hAnsi="Wingdings" w:cs="Noto Sans"/>
              </w:rPr>
              <w:t>¨</w:t>
            </w:r>
          </w:p>
        </w:tc>
      </w:tr>
      <w:tr w:rsidR="003C2B38" w14:paraId="55C72731" w14:textId="77777777" w:rsidTr="00BD5993">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77C3DD9A" w14:textId="35C0A65B" w:rsidR="003C2B38" w:rsidRPr="001446F5" w:rsidRDefault="003C2B38" w:rsidP="003C2B38">
            <w:pPr>
              <w:rPr>
                <w:rFonts w:cs="Noto Sans"/>
                <w:b w:val="0"/>
                <w:sz w:val="20"/>
                <w:szCs w:val="20"/>
                <w:lang w:val="en-AU"/>
              </w:rPr>
            </w:pPr>
            <w:r w:rsidRPr="001446F5">
              <w:rPr>
                <w:rFonts w:cs="Noto Sans"/>
                <w:b w:val="0"/>
                <w:sz w:val="20"/>
                <w:szCs w:val="20"/>
                <w:lang w:val="en-AU"/>
              </w:rPr>
              <w:t>*Map existing community assets and identify gaps that future projects could help address, with consideration for both capital and recurrent resource requirements</w:t>
            </w:r>
          </w:p>
        </w:tc>
        <w:tc>
          <w:tcPr>
            <w:tcW w:w="987" w:type="dxa"/>
          </w:tcPr>
          <w:p w14:paraId="30194DB7" w14:textId="18FFB2D0" w:rsidR="003C2B38" w:rsidRDefault="003C2B38" w:rsidP="003C2B38">
            <w:pPr>
              <w:jc w:val="center"/>
              <w:cnfStyle w:val="000000000000" w:firstRow="0" w:lastRow="0" w:firstColumn="0" w:lastColumn="0" w:oddVBand="0" w:evenVBand="0" w:oddHBand="0" w:evenHBand="0" w:firstRowFirstColumn="0" w:firstRowLastColumn="0" w:lastRowFirstColumn="0" w:lastRowLastColumn="0"/>
              <w:rPr>
                <w:rFonts w:cs="Noto Sans"/>
                <w:bCs/>
                <w:sz w:val="20"/>
                <w:szCs w:val="20"/>
                <w:lang w:val="en-AU"/>
              </w:rPr>
            </w:pPr>
            <w:r w:rsidRPr="00F04375">
              <w:rPr>
                <w:rFonts w:ascii="Wingdings" w:hAnsi="Wingdings" w:cs="Noto Sans"/>
              </w:rPr>
              <w:t>¨</w:t>
            </w:r>
          </w:p>
        </w:tc>
      </w:tr>
      <w:tr w:rsidR="003C2B38" w14:paraId="0F22A6EA" w14:textId="77777777" w:rsidTr="00BD5993">
        <w:tc>
          <w:tcPr>
            <w:cnfStyle w:val="001000000000" w:firstRow="0" w:lastRow="0" w:firstColumn="1" w:lastColumn="0" w:oddVBand="0" w:evenVBand="0" w:oddHBand="0" w:evenHBand="0" w:firstRowFirstColumn="0" w:firstRowLastColumn="0" w:lastRowFirstColumn="0" w:lastRowLastColumn="0"/>
            <w:tcW w:w="9493" w:type="dxa"/>
          </w:tcPr>
          <w:p w14:paraId="5437681A" w14:textId="3ABAB9D1" w:rsidR="003C2B38" w:rsidRPr="001446F5" w:rsidRDefault="003C2B38" w:rsidP="003C2B38">
            <w:pPr>
              <w:rPr>
                <w:rFonts w:cs="Noto Sans"/>
                <w:b w:val="0"/>
                <w:sz w:val="20"/>
                <w:szCs w:val="20"/>
                <w:lang w:val="en-AU"/>
              </w:rPr>
            </w:pPr>
            <w:r w:rsidRPr="001446F5">
              <w:rPr>
                <w:rFonts w:cs="Noto Sans"/>
                <w:b w:val="0"/>
                <w:sz w:val="20"/>
                <w:szCs w:val="20"/>
                <w:lang w:val="en-AU"/>
              </w:rPr>
              <w:t>Review and identify infrastructure needs and future requirements</w:t>
            </w:r>
          </w:p>
        </w:tc>
        <w:tc>
          <w:tcPr>
            <w:tcW w:w="987" w:type="dxa"/>
            <w:shd w:val="clear" w:color="auto" w:fill="E7E6E6" w:themeFill="background2"/>
          </w:tcPr>
          <w:p w14:paraId="6CA19D76" w14:textId="415452B0" w:rsidR="003C2B38" w:rsidRDefault="003C2B38" w:rsidP="003C2B38">
            <w:pPr>
              <w:jc w:val="center"/>
              <w:cnfStyle w:val="000000000000" w:firstRow="0" w:lastRow="0" w:firstColumn="0" w:lastColumn="0" w:oddVBand="0" w:evenVBand="0" w:oddHBand="0" w:evenHBand="0" w:firstRowFirstColumn="0" w:firstRowLastColumn="0" w:lastRowFirstColumn="0" w:lastRowLastColumn="0"/>
              <w:rPr>
                <w:rFonts w:cs="Noto Sans"/>
                <w:bCs/>
                <w:sz w:val="20"/>
                <w:szCs w:val="20"/>
                <w:lang w:val="en-AU"/>
              </w:rPr>
            </w:pPr>
            <w:r w:rsidRPr="00F04375">
              <w:rPr>
                <w:rFonts w:ascii="Wingdings" w:hAnsi="Wingdings" w:cs="Noto Sans"/>
              </w:rPr>
              <w:t>¨</w:t>
            </w:r>
          </w:p>
        </w:tc>
      </w:tr>
      <w:tr w:rsidR="003C2B38" w14:paraId="16219487" w14:textId="77777777" w:rsidTr="0091450D">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26D15A30" w14:textId="287748B7" w:rsidR="003C2B38" w:rsidRPr="001446F5" w:rsidRDefault="003C2B38" w:rsidP="003C2B38">
            <w:pPr>
              <w:rPr>
                <w:rFonts w:cs="Noto Sans"/>
                <w:b w:val="0"/>
                <w:sz w:val="20"/>
                <w:szCs w:val="20"/>
                <w:lang w:val="en-AU"/>
              </w:rPr>
            </w:pPr>
            <w:r w:rsidRPr="001446F5">
              <w:rPr>
                <w:rFonts w:cs="Noto Sans"/>
                <w:b w:val="0"/>
                <w:sz w:val="20"/>
                <w:szCs w:val="20"/>
                <w:lang w:val="en-AU"/>
              </w:rPr>
              <w:t>Consider how benefit priorities are proportionate to likely project impacts and consistent with local development outcomes</w:t>
            </w:r>
          </w:p>
        </w:tc>
        <w:tc>
          <w:tcPr>
            <w:tcW w:w="987" w:type="dxa"/>
          </w:tcPr>
          <w:p w14:paraId="487D9DF5" w14:textId="211B60DA" w:rsidR="003C2B38" w:rsidRDefault="000E4E91" w:rsidP="000E4E91">
            <w:pPr>
              <w:jc w:val="center"/>
              <w:cnfStyle w:val="000000000000" w:firstRow="0" w:lastRow="0" w:firstColumn="0" w:lastColumn="0" w:oddVBand="0" w:evenVBand="0" w:oddHBand="0" w:evenHBand="0" w:firstRowFirstColumn="0" w:firstRowLastColumn="0" w:lastRowFirstColumn="0" w:lastRowLastColumn="0"/>
              <w:rPr>
                <w:rFonts w:cs="Noto Sans"/>
                <w:bCs/>
                <w:sz w:val="20"/>
                <w:szCs w:val="20"/>
                <w:lang w:val="en-AU"/>
              </w:rPr>
            </w:pPr>
            <w:r w:rsidRPr="00F04375">
              <w:rPr>
                <w:rFonts w:ascii="Wingdings" w:hAnsi="Wingdings" w:cs="Noto Sans"/>
              </w:rPr>
              <w:t>¨</w:t>
            </w:r>
          </w:p>
        </w:tc>
      </w:tr>
    </w:tbl>
    <w:p w14:paraId="12C62B42" w14:textId="77777777" w:rsidR="003A2CD7" w:rsidRDefault="003A2CD7" w:rsidP="009B0F7B">
      <w:pPr>
        <w:rPr>
          <w:rFonts w:cs="Noto Sans"/>
          <w:sz w:val="20"/>
          <w:szCs w:val="20"/>
          <w:lang w:val="en-AU"/>
        </w:rPr>
      </w:pPr>
    </w:p>
    <w:tbl>
      <w:tblPr>
        <w:tblStyle w:val="Table-QldBlue"/>
        <w:tblW w:w="0" w:type="auto"/>
        <w:tblLook w:val="04A0" w:firstRow="1" w:lastRow="0" w:firstColumn="1" w:lastColumn="0" w:noHBand="0" w:noVBand="1"/>
      </w:tblPr>
      <w:tblGrid>
        <w:gridCol w:w="9493"/>
        <w:gridCol w:w="987"/>
      </w:tblGrid>
      <w:tr w:rsidR="003C2B38" w14:paraId="2645383B" w14:textId="77777777" w:rsidTr="00B40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14:paraId="632BE6E1" w14:textId="32B486DA" w:rsidR="003C2B38" w:rsidRPr="00C91DBB" w:rsidRDefault="001C089F" w:rsidP="00B4074F">
            <w:pPr>
              <w:rPr>
                <w:sz w:val="20"/>
                <w:szCs w:val="20"/>
                <w:lang w:val="en-AU"/>
              </w:rPr>
            </w:pPr>
            <w:r w:rsidRPr="00C91DBB">
              <w:rPr>
                <w:sz w:val="20"/>
                <w:szCs w:val="20"/>
                <w:lang w:val="en-AU"/>
              </w:rPr>
              <w:t>2. Engagement and consultation</w:t>
            </w:r>
          </w:p>
        </w:tc>
      </w:tr>
      <w:tr w:rsidR="00801FFB" w14:paraId="1654B21C" w14:textId="77777777" w:rsidTr="00B4074F">
        <w:tc>
          <w:tcPr>
            <w:cnfStyle w:val="001000000000" w:firstRow="0" w:lastRow="0" w:firstColumn="1" w:lastColumn="0" w:oddVBand="0" w:evenVBand="0" w:oddHBand="0" w:evenHBand="0" w:firstRowFirstColumn="0" w:firstRowLastColumn="0" w:lastRowFirstColumn="0" w:lastRowLastColumn="0"/>
            <w:tcW w:w="10480" w:type="dxa"/>
            <w:gridSpan w:val="2"/>
            <w:shd w:val="clear" w:color="auto" w:fill="005EB8" w:themeFill="text1"/>
          </w:tcPr>
          <w:p w14:paraId="488AF7E4" w14:textId="35849547" w:rsidR="00801FFB" w:rsidRPr="00C91DBB" w:rsidRDefault="00801FFB" w:rsidP="00801FFB">
            <w:pPr>
              <w:rPr>
                <w:rFonts w:cs="Noto Sans"/>
                <w:b w:val="0"/>
                <w:color w:val="FFFFFF" w:themeColor="background1"/>
                <w:sz w:val="20"/>
                <w:szCs w:val="20"/>
                <w:lang w:val="en-AU"/>
              </w:rPr>
            </w:pPr>
            <w:r w:rsidRPr="00C91DBB">
              <w:rPr>
                <w:rFonts w:cs="Noto Sans"/>
                <w:color w:val="FFFFFF" w:themeColor="background1"/>
                <w:sz w:val="20"/>
                <w:szCs w:val="20"/>
                <w:lang w:val="en-AU"/>
              </w:rPr>
              <w:t>Why it matters</w:t>
            </w:r>
            <w:r w:rsidRPr="00C91DBB">
              <w:rPr>
                <w:rFonts w:cs="Noto Sans"/>
                <w:i/>
                <w:color w:val="FFFFFF" w:themeColor="background1"/>
                <w:sz w:val="20"/>
                <w:szCs w:val="20"/>
                <w:lang w:val="en-AU"/>
              </w:rPr>
              <w:t>:</w:t>
            </w:r>
            <w:r w:rsidRPr="00C91DBB">
              <w:rPr>
                <w:rFonts w:cs="Noto Sans"/>
                <w:color w:val="FFFFFF" w:themeColor="background1"/>
                <w:sz w:val="20"/>
                <w:szCs w:val="20"/>
                <w:lang w:val="en-AU"/>
              </w:rPr>
              <w:t xml:space="preserve"> </w:t>
            </w:r>
            <w:r w:rsidRPr="00C91DBB">
              <w:rPr>
                <w:rFonts w:cs="Noto Sans"/>
                <w:b w:val="0"/>
                <w:color w:val="FFFFFF" w:themeColor="background1"/>
                <w:sz w:val="20"/>
                <w:szCs w:val="20"/>
                <w:lang w:val="en-AU"/>
              </w:rPr>
              <w:t>genuine consultation builds trust and ensures legacy outcomes are meaningful across all parts of the community</w:t>
            </w:r>
          </w:p>
        </w:tc>
      </w:tr>
      <w:tr w:rsidR="00B820B0" w14:paraId="248EDD3E"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4A418C33" w14:textId="5477AE1A" w:rsidR="00B820B0" w:rsidRPr="00C91DBB" w:rsidRDefault="00B820B0" w:rsidP="00B820B0">
            <w:pPr>
              <w:rPr>
                <w:b w:val="0"/>
                <w:sz w:val="20"/>
                <w:szCs w:val="20"/>
                <w:lang w:val="en-AU"/>
              </w:rPr>
            </w:pPr>
            <w:r w:rsidRPr="00C91DBB">
              <w:rPr>
                <w:b w:val="0"/>
                <w:sz w:val="20"/>
                <w:szCs w:val="20"/>
                <w:lang w:val="en-AU"/>
              </w:rPr>
              <w:t xml:space="preserve">Are there existing community consultation mechanisms? </w:t>
            </w:r>
          </w:p>
        </w:tc>
        <w:tc>
          <w:tcPr>
            <w:tcW w:w="987" w:type="dxa"/>
            <w:shd w:val="clear" w:color="auto" w:fill="E7E6E6" w:themeFill="background2"/>
          </w:tcPr>
          <w:p w14:paraId="4FAC6AED" w14:textId="77777777" w:rsidR="00B820B0" w:rsidRDefault="00B820B0" w:rsidP="00B820B0">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B820B0" w14:paraId="07FFD3FE"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17CA5085" w14:textId="0E5EF237" w:rsidR="00B820B0" w:rsidRPr="00C91DBB" w:rsidRDefault="00B820B0" w:rsidP="00B820B0">
            <w:pPr>
              <w:rPr>
                <w:b w:val="0"/>
                <w:sz w:val="20"/>
                <w:szCs w:val="20"/>
                <w:lang w:val="en-AU"/>
              </w:rPr>
            </w:pPr>
            <w:r w:rsidRPr="00C91DBB">
              <w:rPr>
                <w:b w:val="0"/>
                <w:sz w:val="20"/>
                <w:szCs w:val="20"/>
                <w:lang w:val="en-AU"/>
              </w:rPr>
              <w:t>Establish a clear process for consulting with the community about legacy benefits</w:t>
            </w:r>
          </w:p>
        </w:tc>
        <w:tc>
          <w:tcPr>
            <w:tcW w:w="987" w:type="dxa"/>
          </w:tcPr>
          <w:p w14:paraId="477FAC3F" w14:textId="77777777" w:rsidR="00B820B0" w:rsidRDefault="00B820B0" w:rsidP="00B820B0">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B820B0" w14:paraId="1C7EE146"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7C746859" w14:textId="6B7EE87E" w:rsidR="00B820B0" w:rsidRPr="00C91DBB" w:rsidRDefault="00B820B0" w:rsidP="00B820B0">
            <w:pPr>
              <w:rPr>
                <w:b w:val="0"/>
                <w:sz w:val="20"/>
                <w:szCs w:val="20"/>
                <w:lang w:val="en-AU"/>
              </w:rPr>
            </w:pPr>
            <w:r w:rsidRPr="00C91DBB">
              <w:rPr>
                <w:b w:val="0"/>
                <w:sz w:val="20"/>
                <w:szCs w:val="20"/>
                <w:lang w:val="en-AU"/>
              </w:rPr>
              <w:lastRenderedPageBreak/>
              <w:t>Use a combination of methods (for example workshops, surveys, stakeholder roundtables, reference groups) to gather diverse input and develop supporting materials including on the scale of development in the LGA, actions council has taken to date and lessons from other industry booms and busts (such as in mining and coal seam gas)</w:t>
            </w:r>
          </w:p>
        </w:tc>
        <w:tc>
          <w:tcPr>
            <w:tcW w:w="987" w:type="dxa"/>
            <w:shd w:val="clear" w:color="auto" w:fill="E7E6E6" w:themeFill="background2"/>
          </w:tcPr>
          <w:p w14:paraId="18D41D90" w14:textId="77777777" w:rsidR="00B820B0" w:rsidRDefault="00B820B0" w:rsidP="00B820B0">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B820B0" w14:paraId="5BD80C27"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4A950A9A" w14:textId="43456629" w:rsidR="00B820B0" w:rsidRPr="00C91DBB" w:rsidRDefault="00B820B0" w:rsidP="00B820B0">
            <w:pPr>
              <w:rPr>
                <w:b w:val="0"/>
                <w:sz w:val="20"/>
                <w:szCs w:val="20"/>
                <w:lang w:val="en-AU"/>
              </w:rPr>
            </w:pPr>
            <w:r w:rsidRPr="00C91DBB">
              <w:rPr>
                <w:b w:val="0"/>
                <w:sz w:val="20"/>
                <w:szCs w:val="20"/>
                <w:lang w:val="en-AU"/>
              </w:rPr>
              <w:t>Actively include hard-to-reach or vulnerable groups (such as youth, people with disabilities)</w:t>
            </w:r>
          </w:p>
        </w:tc>
        <w:tc>
          <w:tcPr>
            <w:tcW w:w="987" w:type="dxa"/>
          </w:tcPr>
          <w:p w14:paraId="52C49D6C" w14:textId="77777777" w:rsidR="00B820B0" w:rsidRDefault="00B820B0" w:rsidP="00B820B0">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B820B0" w14:paraId="34A0ADF4"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0A571ECB" w14:textId="5D9B35B6" w:rsidR="00B820B0" w:rsidRPr="00C91DBB" w:rsidRDefault="00B820B0" w:rsidP="00B820B0">
            <w:pPr>
              <w:rPr>
                <w:b w:val="0"/>
                <w:sz w:val="20"/>
                <w:szCs w:val="20"/>
                <w:lang w:val="en-AU"/>
              </w:rPr>
            </w:pPr>
            <w:r w:rsidRPr="00C91DBB">
              <w:rPr>
                <w:b w:val="0"/>
                <w:sz w:val="20"/>
                <w:szCs w:val="20"/>
                <w:lang w:val="en-AU"/>
              </w:rPr>
              <w:t>Document all feedback and transparently communicate how it will be considered</w:t>
            </w:r>
          </w:p>
        </w:tc>
        <w:tc>
          <w:tcPr>
            <w:tcW w:w="987" w:type="dxa"/>
            <w:shd w:val="clear" w:color="auto" w:fill="E7E6E6" w:themeFill="background2"/>
          </w:tcPr>
          <w:p w14:paraId="4B45176E" w14:textId="77777777" w:rsidR="00B820B0" w:rsidRDefault="00B820B0" w:rsidP="00B820B0">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bl>
    <w:p w14:paraId="2CA19767" w14:textId="77777777" w:rsidR="00B820B0" w:rsidRDefault="00B820B0">
      <w:pPr>
        <w:spacing w:after="0" w:line="240" w:lineRule="auto"/>
        <w:rPr>
          <w:rFonts w:cs="Noto Sans"/>
          <w:sz w:val="20"/>
          <w:szCs w:val="20"/>
          <w:lang w:val="en-AU"/>
        </w:rPr>
      </w:pPr>
    </w:p>
    <w:tbl>
      <w:tblPr>
        <w:tblStyle w:val="Table-QldBlue"/>
        <w:tblW w:w="0" w:type="auto"/>
        <w:tblLook w:val="04A0" w:firstRow="1" w:lastRow="0" w:firstColumn="1" w:lastColumn="0" w:noHBand="0" w:noVBand="1"/>
      </w:tblPr>
      <w:tblGrid>
        <w:gridCol w:w="9493"/>
        <w:gridCol w:w="987"/>
      </w:tblGrid>
      <w:tr w:rsidR="00B820B0" w14:paraId="16A75837" w14:textId="77777777" w:rsidTr="00B40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14:paraId="32919900" w14:textId="35038929" w:rsidR="00B820B0" w:rsidRPr="00C91DBB" w:rsidRDefault="00812055" w:rsidP="00B4074F">
            <w:pPr>
              <w:rPr>
                <w:rFonts w:cs="Noto Sans"/>
                <w:sz w:val="20"/>
                <w:szCs w:val="20"/>
                <w:lang w:val="en-AU"/>
              </w:rPr>
            </w:pPr>
            <w:r w:rsidRPr="00C91DBB">
              <w:rPr>
                <w:rFonts w:cs="Noto Sans"/>
                <w:sz w:val="20"/>
                <w:szCs w:val="20"/>
                <w:lang w:val="en-AU"/>
              </w:rPr>
              <w:t>3. Potential benefit areas</w:t>
            </w:r>
          </w:p>
        </w:tc>
      </w:tr>
      <w:tr w:rsidR="00B820B0" w14:paraId="0A7763B5" w14:textId="77777777" w:rsidTr="00B4074F">
        <w:tc>
          <w:tcPr>
            <w:cnfStyle w:val="001000000000" w:firstRow="0" w:lastRow="0" w:firstColumn="1" w:lastColumn="0" w:oddVBand="0" w:evenVBand="0" w:oddHBand="0" w:evenHBand="0" w:firstRowFirstColumn="0" w:firstRowLastColumn="0" w:lastRowFirstColumn="0" w:lastRowLastColumn="0"/>
            <w:tcW w:w="10480" w:type="dxa"/>
            <w:gridSpan w:val="2"/>
            <w:shd w:val="clear" w:color="auto" w:fill="005EB8" w:themeFill="text1"/>
          </w:tcPr>
          <w:p w14:paraId="2CEFE6D6" w14:textId="54EF2A11" w:rsidR="00B820B0" w:rsidRPr="00C91DBB" w:rsidRDefault="00872C84" w:rsidP="00B4074F">
            <w:pPr>
              <w:rPr>
                <w:rFonts w:cs="Noto Sans"/>
                <w:b w:val="0"/>
                <w:color w:val="FFFFFF" w:themeColor="background1"/>
                <w:sz w:val="20"/>
                <w:szCs w:val="20"/>
                <w:lang w:val="en-AU"/>
              </w:rPr>
            </w:pPr>
            <w:r w:rsidRPr="00C91DBB">
              <w:rPr>
                <w:rFonts w:cs="Noto Sans"/>
                <w:color w:val="FFFFFF" w:themeColor="background1"/>
                <w:sz w:val="20"/>
                <w:szCs w:val="20"/>
                <w:lang w:val="en-AU"/>
              </w:rPr>
              <w:t xml:space="preserve">Why it matters: </w:t>
            </w:r>
            <w:r w:rsidRPr="00C91DBB">
              <w:rPr>
                <w:rFonts w:cs="Noto Sans"/>
                <w:b w:val="0"/>
                <w:color w:val="FFFFFF" w:themeColor="background1"/>
                <w:sz w:val="20"/>
                <w:szCs w:val="20"/>
                <w:lang w:val="en-AU"/>
              </w:rPr>
              <w:t>defining broad benefit areas, which may be specific to townships or districts, and specific initiatives helps proponents understand community expectations and allows councils to prioritise which benefits are important</w:t>
            </w:r>
          </w:p>
        </w:tc>
      </w:tr>
      <w:tr w:rsidR="004E75C5" w14:paraId="5042884D"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2138C091" w14:textId="7476BC9B" w:rsidR="004E75C5" w:rsidRPr="00C91DBB" w:rsidRDefault="004E75C5" w:rsidP="004E75C5">
            <w:pPr>
              <w:rPr>
                <w:b w:val="0"/>
                <w:sz w:val="20"/>
                <w:szCs w:val="20"/>
                <w:lang w:val="en-AU"/>
              </w:rPr>
            </w:pPr>
            <w:r w:rsidRPr="00C91DBB">
              <w:rPr>
                <w:b w:val="0"/>
                <w:sz w:val="20"/>
                <w:szCs w:val="20"/>
                <w:lang w:val="en-AU"/>
              </w:rPr>
              <w:t>*Local employment and skills pathways (such as apprenticeships, training, scholarships)</w:t>
            </w:r>
          </w:p>
        </w:tc>
        <w:tc>
          <w:tcPr>
            <w:tcW w:w="987" w:type="dxa"/>
            <w:shd w:val="clear" w:color="auto" w:fill="E7E6E6" w:themeFill="background2"/>
          </w:tcPr>
          <w:p w14:paraId="19403BCB" w14:textId="77777777" w:rsidR="004E75C5" w:rsidRDefault="004E75C5" w:rsidP="004E75C5">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4E75C5" w14:paraId="4704CAB2"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2373DC99" w14:textId="0A2E7701" w:rsidR="004E75C5" w:rsidRPr="00C91DBB" w:rsidRDefault="004E75C5" w:rsidP="004E75C5">
            <w:pPr>
              <w:rPr>
                <w:b w:val="0"/>
                <w:sz w:val="20"/>
                <w:szCs w:val="20"/>
                <w:lang w:val="en-AU"/>
              </w:rPr>
            </w:pPr>
            <w:r w:rsidRPr="00C91DBB">
              <w:rPr>
                <w:b w:val="0"/>
                <w:sz w:val="20"/>
                <w:szCs w:val="20"/>
                <w:lang w:val="en-AU"/>
              </w:rPr>
              <w:t>*Community and social infrastructure (such as halls, sporting facilities, childcare centres, human services)</w:t>
            </w:r>
          </w:p>
        </w:tc>
        <w:tc>
          <w:tcPr>
            <w:tcW w:w="987" w:type="dxa"/>
          </w:tcPr>
          <w:p w14:paraId="2EE29F44" w14:textId="77777777" w:rsidR="004E75C5" w:rsidRDefault="004E75C5" w:rsidP="004E75C5">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4E75C5" w14:paraId="6A16EF9C"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1DE0E416" w14:textId="33981C09" w:rsidR="004E75C5" w:rsidRPr="00C91DBB" w:rsidRDefault="004E75C5" w:rsidP="004E75C5">
            <w:pPr>
              <w:rPr>
                <w:b w:val="0"/>
                <w:sz w:val="20"/>
                <w:szCs w:val="20"/>
                <w:lang w:val="en-AU"/>
              </w:rPr>
            </w:pPr>
            <w:r w:rsidRPr="00C91DBB">
              <w:rPr>
                <w:b w:val="0"/>
                <w:sz w:val="20"/>
                <w:szCs w:val="20"/>
                <w:lang w:val="en-AU"/>
              </w:rPr>
              <w:t>*Affordable housing contributions</w:t>
            </w:r>
          </w:p>
        </w:tc>
        <w:tc>
          <w:tcPr>
            <w:tcW w:w="987" w:type="dxa"/>
            <w:shd w:val="clear" w:color="auto" w:fill="E7E6E6" w:themeFill="background2"/>
          </w:tcPr>
          <w:p w14:paraId="579AD62A" w14:textId="77777777" w:rsidR="004E75C5" w:rsidRDefault="004E75C5" w:rsidP="004E75C5">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4E75C5" w14:paraId="4A6E84F3"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0CF31229" w14:textId="6D78415C" w:rsidR="004E75C5" w:rsidRPr="00C91DBB" w:rsidRDefault="004E75C5" w:rsidP="004E75C5">
            <w:pPr>
              <w:rPr>
                <w:b w:val="0"/>
                <w:sz w:val="20"/>
                <w:szCs w:val="20"/>
                <w:lang w:val="en-AU"/>
              </w:rPr>
            </w:pPr>
            <w:r w:rsidRPr="00C91DBB">
              <w:rPr>
                <w:b w:val="0"/>
                <w:sz w:val="20"/>
                <w:szCs w:val="20"/>
                <w:lang w:val="en-AU"/>
              </w:rPr>
              <w:t>*Environmental programmes (such as land restoration, renewable energy partnerships)</w:t>
            </w:r>
          </w:p>
        </w:tc>
        <w:tc>
          <w:tcPr>
            <w:tcW w:w="987" w:type="dxa"/>
          </w:tcPr>
          <w:p w14:paraId="640C643E" w14:textId="77777777" w:rsidR="004E75C5" w:rsidRDefault="004E75C5" w:rsidP="004E75C5">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4E75C5" w14:paraId="5319DF7B"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0CEF43BC" w14:textId="5870512D" w:rsidR="004E75C5" w:rsidRPr="00C91DBB" w:rsidRDefault="004E75C5" w:rsidP="004E75C5">
            <w:pPr>
              <w:rPr>
                <w:b w:val="0"/>
                <w:sz w:val="20"/>
                <w:szCs w:val="20"/>
                <w:lang w:val="en-AU"/>
              </w:rPr>
            </w:pPr>
            <w:r w:rsidRPr="00C91DBB">
              <w:rPr>
                <w:b w:val="0"/>
                <w:sz w:val="20"/>
                <w:szCs w:val="20"/>
                <w:lang w:val="en-AU"/>
              </w:rPr>
              <w:t xml:space="preserve">*Cultural heritage and </w:t>
            </w:r>
            <w:r w:rsidR="001D2328">
              <w:rPr>
                <w:b w:val="0"/>
                <w:sz w:val="20"/>
                <w:szCs w:val="20"/>
                <w:lang w:val="en-AU"/>
              </w:rPr>
              <w:t>other</w:t>
            </w:r>
            <w:r w:rsidRPr="00C91DBB">
              <w:rPr>
                <w:b w:val="0"/>
                <w:sz w:val="20"/>
                <w:szCs w:val="20"/>
                <w:lang w:val="en-AU"/>
              </w:rPr>
              <w:t xml:space="preserve"> initiatives</w:t>
            </w:r>
          </w:p>
        </w:tc>
        <w:tc>
          <w:tcPr>
            <w:tcW w:w="987" w:type="dxa"/>
            <w:shd w:val="clear" w:color="auto" w:fill="E7E6E6" w:themeFill="background2"/>
          </w:tcPr>
          <w:p w14:paraId="52063486" w14:textId="77777777" w:rsidR="004E75C5" w:rsidRDefault="004E75C5" w:rsidP="004E75C5">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4E75C5" w14:paraId="177C3CA7" w14:textId="77777777" w:rsidTr="00F50BDA">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53E731E4" w14:textId="2640AF57" w:rsidR="004E75C5" w:rsidRPr="00B820B0" w:rsidRDefault="004E75C5" w:rsidP="004E75C5">
            <w:pPr>
              <w:rPr>
                <w:b w:val="0"/>
                <w:lang w:val="en-AU"/>
              </w:rPr>
            </w:pPr>
            <w:r w:rsidRPr="004E75C5">
              <w:rPr>
                <w:b w:val="0"/>
                <w:lang w:val="en-AU"/>
              </w:rPr>
              <w:t>*Health and well-being programmes</w:t>
            </w:r>
          </w:p>
        </w:tc>
        <w:tc>
          <w:tcPr>
            <w:tcW w:w="987" w:type="dxa"/>
          </w:tcPr>
          <w:p w14:paraId="6771E572" w14:textId="58E0CABC" w:rsidR="004E75C5" w:rsidRPr="00F04375" w:rsidRDefault="004E75C5" w:rsidP="0035712D">
            <w:pPr>
              <w:jc w:val="center"/>
              <w:cnfStyle w:val="000000000000" w:firstRow="0" w:lastRow="0" w:firstColumn="0" w:lastColumn="0" w:oddVBand="0" w:evenVBand="0" w:oddHBand="0" w:evenHBand="0" w:firstRowFirstColumn="0" w:firstRowLastColumn="0" w:lastRowFirstColumn="0" w:lastRowLastColumn="0"/>
              <w:rPr>
                <w:rFonts w:ascii="Wingdings" w:hAnsi="Wingdings" w:cs="Noto Sans"/>
              </w:rPr>
            </w:pPr>
            <w:r w:rsidRPr="00F04375">
              <w:rPr>
                <w:rFonts w:ascii="Wingdings" w:hAnsi="Wingdings" w:cs="Noto Sans"/>
              </w:rPr>
              <w:t>¨</w:t>
            </w:r>
          </w:p>
        </w:tc>
      </w:tr>
      <w:tr w:rsidR="004E75C5" w14:paraId="5F88B1B9"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485A61B8" w14:textId="1A937686" w:rsidR="004E75C5" w:rsidRPr="00B820B0" w:rsidRDefault="004E75C5" w:rsidP="004E75C5">
            <w:pPr>
              <w:rPr>
                <w:b w:val="0"/>
                <w:lang w:val="en-AU"/>
              </w:rPr>
            </w:pPr>
            <w:r w:rsidRPr="004E75C5">
              <w:rPr>
                <w:b w:val="0"/>
                <w:lang w:val="en-AU"/>
              </w:rPr>
              <w:t>*Transport improvements and regional connectivity</w:t>
            </w:r>
          </w:p>
        </w:tc>
        <w:tc>
          <w:tcPr>
            <w:tcW w:w="987" w:type="dxa"/>
            <w:shd w:val="clear" w:color="auto" w:fill="E7E6E6" w:themeFill="background2"/>
          </w:tcPr>
          <w:p w14:paraId="4E63A39E" w14:textId="42CE79E5" w:rsidR="004E75C5" w:rsidRPr="00F04375" w:rsidRDefault="004E75C5" w:rsidP="0035712D">
            <w:pPr>
              <w:jc w:val="center"/>
              <w:cnfStyle w:val="000000000000" w:firstRow="0" w:lastRow="0" w:firstColumn="0" w:lastColumn="0" w:oddVBand="0" w:evenVBand="0" w:oddHBand="0" w:evenHBand="0" w:firstRowFirstColumn="0" w:firstRowLastColumn="0" w:lastRowFirstColumn="0" w:lastRowLastColumn="0"/>
              <w:rPr>
                <w:rFonts w:ascii="Wingdings" w:hAnsi="Wingdings" w:cs="Noto Sans"/>
              </w:rPr>
            </w:pPr>
            <w:r w:rsidRPr="00F04375">
              <w:rPr>
                <w:rFonts w:ascii="Wingdings" w:hAnsi="Wingdings" w:cs="Noto Sans"/>
              </w:rPr>
              <w:t>¨</w:t>
            </w:r>
          </w:p>
        </w:tc>
      </w:tr>
      <w:tr w:rsidR="004E75C5" w14:paraId="4A6C19F9" w14:textId="77777777" w:rsidTr="00F50BDA">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09F748EF" w14:textId="2636A4F5" w:rsidR="004E75C5" w:rsidRPr="00B820B0" w:rsidRDefault="004E75C5" w:rsidP="004E75C5">
            <w:pPr>
              <w:rPr>
                <w:b w:val="0"/>
                <w:lang w:val="en-AU"/>
              </w:rPr>
            </w:pPr>
            <w:r w:rsidRPr="004E75C5">
              <w:rPr>
                <w:b w:val="0"/>
                <w:lang w:val="en-AU"/>
              </w:rPr>
              <w:t>*Support for local businesses and supply chain growth</w:t>
            </w:r>
          </w:p>
        </w:tc>
        <w:tc>
          <w:tcPr>
            <w:tcW w:w="987" w:type="dxa"/>
          </w:tcPr>
          <w:p w14:paraId="6EB5AAF3" w14:textId="062719BE" w:rsidR="004E75C5" w:rsidRPr="00F04375" w:rsidRDefault="004E75C5" w:rsidP="0035712D">
            <w:pPr>
              <w:jc w:val="center"/>
              <w:cnfStyle w:val="000000000000" w:firstRow="0" w:lastRow="0" w:firstColumn="0" w:lastColumn="0" w:oddVBand="0" w:evenVBand="0" w:oddHBand="0" w:evenHBand="0" w:firstRowFirstColumn="0" w:firstRowLastColumn="0" w:lastRowFirstColumn="0" w:lastRowLastColumn="0"/>
              <w:rPr>
                <w:rFonts w:ascii="Wingdings" w:hAnsi="Wingdings" w:cs="Noto Sans"/>
              </w:rPr>
            </w:pPr>
            <w:r w:rsidRPr="00F04375">
              <w:rPr>
                <w:rFonts w:ascii="Wingdings" w:hAnsi="Wingdings" w:cs="Noto Sans"/>
              </w:rPr>
              <w:t>¨</w:t>
            </w:r>
          </w:p>
        </w:tc>
      </w:tr>
      <w:tr w:rsidR="004E75C5" w14:paraId="501AE8FC"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0BC9CFEC" w14:textId="19632046" w:rsidR="004E75C5" w:rsidRPr="00B820B0" w:rsidRDefault="004E75C5" w:rsidP="004E75C5">
            <w:pPr>
              <w:rPr>
                <w:b w:val="0"/>
                <w:lang w:val="en-AU"/>
              </w:rPr>
            </w:pPr>
            <w:r w:rsidRPr="004E75C5">
              <w:rPr>
                <w:b w:val="0"/>
                <w:lang w:val="en-AU"/>
              </w:rPr>
              <w:t>*Digital connectivity, education technology, or smart infrastructure investments</w:t>
            </w:r>
          </w:p>
        </w:tc>
        <w:tc>
          <w:tcPr>
            <w:tcW w:w="987" w:type="dxa"/>
            <w:shd w:val="clear" w:color="auto" w:fill="E7E6E6" w:themeFill="background2"/>
          </w:tcPr>
          <w:p w14:paraId="583A4FF9" w14:textId="25132F72" w:rsidR="004E75C5" w:rsidRPr="00F04375" w:rsidRDefault="004E75C5" w:rsidP="0035712D">
            <w:pPr>
              <w:jc w:val="center"/>
              <w:cnfStyle w:val="000000000000" w:firstRow="0" w:lastRow="0" w:firstColumn="0" w:lastColumn="0" w:oddVBand="0" w:evenVBand="0" w:oddHBand="0" w:evenHBand="0" w:firstRowFirstColumn="0" w:firstRowLastColumn="0" w:lastRowFirstColumn="0" w:lastRowLastColumn="0"/>
              <w:rPr>
                <w:rFonts w:ascii="Wingdings" w:hAnsi="Wingdings" w:cs="Noto Sans"/>
              </w:rPr>
            </w:pPr>
            <w:r w:rsidRPr="00F04375">
              <w:rPr>
                <w:rFonts w:ascii="Wingdings" w:hAnsi="Wingdings" w:cs="Noto Sans"/>
              </w:rPr>
              <w:t>¨</w:t>
            </w:r>
          </w:p>
        </w:tc>
      </w:tr>
      <w:tr w:rsidR="004E75C5" w14:paraId="14B769C6" w14:textId="77777777" w:rsidTr="00F50BDA">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5BBBCDB7" w14:textId="0AD9EC08" w:rsidR="004E75C5" w:rsidRPr="00B820B0" w:rsidRDefault="004E75C5" w:rsidP="004E75C5">
            <w:pPr>
              <w:rPr>
                <w:b w:val="0"/>
                <w:lang w:val="en-AU"/>
              </w:rPr>
            </w:pPr>
            <w:r w:rsidRPr="004E75C5">
              <w:rPr>
                <w:b w:val="0"/>
                <w:lang w:val="en-AU"/>
              </w:rPr>
              <w:t>*Social cohesion or mental health initiatives linked to development impacts</w:t>
            </w:r>
          </w:p>
        </w:tc>
        <w:tc>
          <w:tcPr>
            <w:tcW w:w="987" w:type="dxa"/>
          </w:tcPr>
          <w:p w14:paraId="4ECFCB4F" w14:textId="6C0FDC56" w:rsidR="004E75C5" w:rsidRPr="00F04375" w:rsidRDefault="004E75C5" w:rsidP="0035712D">
            <w:pPr>
              <w:jc w:val="center"/>
              <w:cnfStyle w:val="000000000000" w:firstRow="0" w:lastRow="0" w:firstColumn="0" w:lastColumn="0" w:oddVBand="0" w:evenVBand="0" w:oddHBand="0" w:evenHBand="0" w:firstRowFirstColumn="0" w:firstRowLastColumn="0" w:lastRowFirstColumn="0" w:lastRowLastColumn="0"/>
              <w:rPr>
                <w:rFonts w:ascii="Wingdings" w:hAnsi="Wingdings" w:cs="Noto Sans"/>
              </w:rPr>
            </w:pPr>
            <w:r w:rsidRPr="00F04375">
              <w:rPr>
                <w:rFonts w:ascii="Wingdings" w:hAnsi="Wingdings" w:cs="Noto Sans"/>
              </w:rPr>
              <w:t>¨</w:t>
            </w:r>
          </w:p>
        </w:tc>
      </w:tr>
    </w:tbl>
    <w:p w14:paraId="3CC2E62F" w14:textId="77777777" w:rsidR="00EC0D82" w:rsidRDefault="00EC0D82">
      <w:pPr>
        <w:spacing w:after="0" w:line="240" w:lineRule="auto"/>
        <w:rPr>
          <w:rFonts w:cs="Noto Sans"/>
          <w:sz w:val="20"/>
          <w:szCs w:val="20"/>
          <w:lang w:val="en-AU"/>
        </w:rPr>
      </w:pPr>
    </w:p>
    <w:p w14:paraId="07787608" w14:textId="77777777" w:rsidR="00EC0D82" w:rsidRDefault="00EC0D82">
      <w:pPr>
        <w:spacing w:after="0" w:line="240" w:lineRule="auto"/>
        <w:rPr>
          <w:rFonts w:cs="Noto Sans"/>
          <w:sz w:val="20"/>
          <w:szCs w:val="20"/>
          <w:lang w:val="en-AU"/>
        </w:rPr>
      </w:pPr>
    </w:p>
    <w:tbl>
      <w:tblPr>
        <w:tblStyle w:val="Table-QldBlue"/>
        <w:tblW w:w="0" w:type="auto"/>
        <w:tblLook w:val="04A0" w:firstRow="1" w:lastRow="0" w:firstColumn="1" w:lastColumn="0" w:noHBand="0" w:noVBand="1"/>
      </w:tblPr>
      <w:tblGrid>
        <w:gridCol w:w="9493"/>
        <w:gridCol w:w="987"/>
      </w:tblGrid>
      <w:tr w:rsidR="00EC0D82" w14:paraId="2743335C" w14:textId="77777777" w:rsidTr="00B40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14:paraId="0FB17E33" w14:textId="6C17FA72" w:rsidR="00EC0D82" w:rsidRPr="0035712D" w:rsidRDefault="005C4405" w:rsidP="00B4074F">
            <w:pPr>
              <w:rPr>
                <w:rFonts w:cs="Noto Sans"/>
                <w:sz w:val="20"/>
                <w:szCs w:val="20"/>
                <w:lang w:val="en-AU"/>
              </w:rPr>
            </w:pPr>
            <w:r w:rsidRPr="0035712D">
              <w:rPr>
                <w:rFonts w:cs="Noto Sans"/>
                <w:sz w:val="20"/>
                <w:szCs w:val="20"/>
                <w:lang w:val="en-AU"/>
              </w:rPr>
              <w:t>4. Partnership opportunities</w:t>
            </w:r>
          </w:p>
        </w:tc>
      </w:tr>
      <w:tr w:rsidR="00EC0D82" w14:paraId="62D0BB7F" w14:textId="77777777" w:rsidTr="00B4074F">
        <w:tc>
          <w:tcPr>
            <w:cnfStyle w:val="001000000000" w:firstRow="0" w:lastRow="0" w:firstColumn="1" w:lastColumn="0" w:oddVBand="0" w:evenVBand="0" w:oddHBand="0" w:evenHBand="0" w:firstRowFirstColumn="0" w:firstRowLastColumn="0" w:lastRowFirstColumn="0" w:lastRowLastColumn="0"/>
            <w:tcW w:w="10480" w:type="dxa"/>
            <w:gridSpan w:val="2"/>
            <w:shd w:val="clear" w:color="auto" w:fill="005EB8" w:themeFill="text1"/>
          </w:tcPr>
          <w:p w14:paraId="5816192D" w14:textId="4C9E2CE7" w:rsidR="00EC0D82" w:rsidRPr="0035712D" w:rsidRDefault="00464FD0" w:rsidP="00B4074F">
            <w:pPr>
              <w:rPr>
                <w:rFonts w:cs="Noto Sans"/>
                <w:b w:val="0"/>
                <w:color w:val="FFFFFF" w:themeColor="background1"/>
                <w:sz w:val="20"/>
                <w:szCs w:val="20"/>
                <w:lang w:val="en-AU"/>
              </w:rPr>
            </w:pPr>
            <w:r w:rsidRPr="00FC4C9B">
              <w:rPr>
                <w:rFonts w:cs="Noto Sans"/>
                <w:color w:val="FFFFFF" w:themeColor="background1"/>
                <w:lang w:val="en-AU"/>
              </w:rPr>
              <w:t xml:space="preserve">Why it matters: </w:t>
            </w:r>
            <w:r w:rsidRPr="00FC4C9B">
              <w:rPr>
                <w:rFonts w:cs="Noto Sans"/>
                <w:b w:val="0"/>
                <w:color w:val="FFFFFF" w:themeColor="background1"/>
                <w:lang w:val="en-AU"/>
              </w:rPr>
              <w:t>partnerships can help stretch resources further and build local capacity to maintain legacy benefits over time</w:t>
            </w:r>
          </w:p>
        </w:tc>
      </w:tr>
      <w:tr w:rsidR="00636640" w14:paraId="400DF444"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7CB5E368" w14:textId="502ADB9A" w:rsidR="00636640" w:rsidRPr="0035712D" w:rsidRDefault="00636640" w:rsidP="00636640">
            <w:pPr>
              <w:rPr>
                <w:b w:val="0"/>
                <w:sz w:val="20"/>
                <w:szCs w:val="20"/>
                <w:lang w:val="en-AU"/>
              </w:rPr>
            </w:pPr>
            <w:r w:rsidRPr="0035712D">
              <w:rPr>
                <w:b w:val="0"/>
                <w:sz w:val="20"/>
                <w:szCs w:val="20"/>
                <w:lang w:val="en-AU"/>
              </w:rPr>
              <w:t>Identify potential partners, including non-profits, educational institutions, community groups and industry associations.</w:t>
            </w:r>
          </w:p>
        </w:tc>
        <w:tc>
          <w:tcPr>
            <w:tcW w:w="987" w:type="dxa"/>
            <w:shd w:val="clear" w:color="auto" w:fill="E7E6E6" w:themeFill="background2"/>
          </w:tcPr>
          <w:p w14:paraId="68E1F8AD" w14:textId="77777777" w:rsidR="00636640" w:rsidRDefault="00636640"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636640" w14:paraId="6D564F82"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7260B25C" w14:textId="173791EB" w:rsidR="00636640" w:rsidRPr="0035712D" w:rsidRDefault="00636640" w:rsidP="00636640">
            <w:pPr>
              <w:rPr>
                <w:b w:val="0"/>
                <w:sz w:val="20"/>
                <w:szCs w:val="20"/>
                <w:lang w:val="en-AU"/>
              </w:rPr>
            </w:pPr>
            <w:r w:rsidRPr="0035712D">
              <w:rPr>
                <w:b w:val="0"/>
                <w:sz w:val="20"/>
                <w:szCs w:val="20"/>
                <w:lang w:val="en-AU"/>
              </w:rPr>
              <w:t>Explore opportunities for co-investment or shared delivery of benefits</w:t>
            </w:r>
          </w:p>
        </w:tc>
        <w:tc>
          <w:tcPr>
            <w:tcW w:w="987" w:type="dxa"/>
          </w:tcPr>
          <w:p w14:paraId="02A77594" w14:textId="77777777" w:rsidR="00636640" w:rsidRDefault="00636640"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636640" w14:paraId="21A69C4A"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23351688" w14:textId="49E59839" w:rsidR="00636640" w:rsidRPr="0035712D" w:rsidRDefault="00636640" w:rsidP="00636640">
            <w:pPr>
              <w:rPr>
                <w:b w:val="0"/>
                <w:sz w:val="20"/>
                <w:szCs w:val="20"/>
                <w:lang w:val="en-AU"/>
              </w:rPr>
            </w:pPr>
            <w:r w:rsidRPr="0035712D">
              <w:rPr>
                <w:b w:val="0"/>
                <w:sz w:val="20"/>
                <w:szCs w:val="20"/>
                <w:lang w:val="en-AU"/>
              </w:rPr>
              <w:t>*Consider governance models that could oversee delivery of legacy outcomes (such as Local Reference Groups, Community Consultative Committees, community benefit trusts or joint committees)</w:t>
            </w:r>
          </w:p>
        </w:tc>
        <w:tc>
          <w:tcPr>
            <w:tcW w:w="987" w:type="dxa"/>
            <w:shd w:val="clear" w:color="auto" w:fill="E7E6E6" w:themeFill="background2"/>
          </w:tcPr>
          <w:p w14:paraId="46AE23F7" w14:textId="77777777" w:rsidR="00636640" w:rsidRDefault="00636640"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636640" w14:paraId="428A7756"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0FC68965" w14:textId="080D90DC" w:rsidR="00636640" w:rsidRPr="0035712D" w:rsidRDefault="00636640" w:rsidP="00636640">
            <w:pPr>
              <w:rPr>
                <w:b w:val="0"/>
                <w:sz w:val="20"/>
                <w:szCs w:val="20"/>
                <w:lang w:val="en-AU"/>
              </w:rPr>
            </w:pPr>
            <w:r w:rsidRPr="0035712D">
              <w:rPr>
                <w:b w:val="0"/>
                <w:sz w:val="20"/>
                <w:szCs w:val="20"/>
                <w:lang w:val="en-AU"/>
              </w:rPr>
              <w:t>Where applicable, refer to recommended models or case studies outlined in state government guidance</w:t>
            </w:r>
          </w:p>
        </w:tc>
        <w:tc>
          <w:tcPr>
            <w:tcW w:w="987" w:type="dxa"/>
          </w:tcPr>
          <w:p w14:paraId="4E91983F" w14:textId="77777777" w:rsidR="00636640" w:rsidRDefault="00636640"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bl>
    <w:p w14:paraId="0C77FB92" w14:textId="77777777" w:rsidR="00636640" w:rsidRDefault="00636640" w:rsidP="00EC0D82">
      <w:pPr>
        <w:spacing w:after="0" w:line="240" w:lineRule="auto"/>
        <w:rPr>
          <w:rFonts w:cs="Noto Sans"/>
          <w:sz w:val="20"/>
          <w:szCs w:val="20"/>
          <w:lang w:val="en-AU"/>
        </w:rPr>
      </w:pPr>
    </w:p>
    <w:tbl>
      <w:tblPr>
        <w:tblStyle w:val="Table-QldBlue"/>
        <w:tblW w:w="0" w:type="auto"/>
        <w:tblLook w:val="04A0" w:firstRow="1" w:lastRow="0" w:firstColumn="1" w:lastColumn="0" w:noHBand="0" w:noVBand="1"/>
      </w:tblPr>
      <w:tblGrid>
        <w:gridCol w:w="9493"/>
        <w:gridCol w:w="987"/>
      </w:tblGrid>
      <w:tr w:rsidR="00636640" w14:paraId="62096614" w14:textId="77777777" w:rsidTr="00B40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14:paraId="1240FBD2" w14:textId="4E5D0F3C" w:rsidR="00636640" w:rsidRPr="0035712D" w:rsidRDefault="00CD6E63" w:rsidP="00B4074F">
            <w:pPr>
              <w:rPr>
                <w:rFonts w:cs="Noto Sans"/>
                <w:sz w:val="20"/>
                <w:szCs w:val="20"/>
                <w:lang w:val="en-AU"/>
              </w:rPr>
            </w:pPr>
            <w:r w:rsidRPr="0035712D">
              <w:rPr>
                <w:rFonts w:cs="Noto Sans"/>
                <w:sz w:val="20"/>
                <w:szCs w:val="20"/>
                <w:lang w:val="en-AU"/>
              </w:rPr>
              <w:t>5. Monitoring and accountability</w:t>
            </w:r>
          </w:p>
        </w:tc>
      </w:tr>
      <w:tr w:rsidR="00636640" w14:paraId="4EF3FA41" w14:textId="77777777" w:rsidTr="00B4074F">
        <w:tc>
          <w:tcPr>
            <w:cnfStyle w:val="001000000000" w:firstRow="0" w:lastRow="0" w:firstColumn="1" w:lastColumn="0" w:oddVBand="0" w:evenVBand="0" w:oddHBand="0" w:evenHBand="0" w:firstRowFirstColumn="0" w:firstRowLastColumn="0" w:lastRowFirstColumn="0" w:lastRowLastColumn="0"/>
            <w:tcW w:w="10480" w:type="dxa"/>
            <w:gridSpan w:val="2"/>
            <w:shd w:val="clear" w:color="auto" w:fill="005EB8" w:themeFill="text1"/>
          </w:tcPr>
          <w:p w14:paraId="1D9DEF59" w14:textId="09B0269B" w:rsidR="00636640" w:rsidRPr="0035712D" w:rsidRDefault="00C149B8" w:rsidP="00B4074F">
            <w:pPr>
              <w:rPr>
                <w:rFonts w:cs="Noto Sans"/>
                <w:b w:val="0"/>
                <w:color w:val="FFFFFF" w:themeColor="background1"/>
                <w:sz w:val="20"/>
                <w:szCs w:val="20"/>
                <w:lang w:val="en-AU"/>
              </w:rPr>
            </w:pPr>
            <w:r w:rsidRPr="00FC4C9B">
              <w:rPr>
                <w:rFonts w:cs="Noto Sans"/>
                <w:color w:val="FFFFFF" w:themeColor="background1"/>
                <w:lang w:val="en-AU"/>
              </w:rPr>
              <w:t xml:space="preserve">Why it matters: </w:t>
            </w:r>
            <w:r w:rsidRPr="00FC4C9B">
              <w:rPr>
                <w:rFonts w:cs="Noto Sans"/>
                <w:b w:val="0"/>
                <w:color w:val="FFFFFF" w:themeColor="background1"/>
                <w:lang w:val="en-AU"/>
              </w:rPr>
              <w:t>accountability mechanisms give the community confidence that commitments will be delivered and maintained, not forgotten once a project is operational</w:t>
            </w:r>
          </w:p>
        </w:tc>
      </w:tr>
      <w:tr w:rsidR="00993585" w14:paraId="28366355"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00D4700D" w14:textId="3A92A3E0" w:rsidR="00993585" w:rsidRPr="00B820B0" w:rsidRDefault="00993585" w:rsidP="00993585">
            <w:pPr>
              <w:rPr>
                <w:b w:val="0"/>
                <w:lang w:val="en-AU"/>
              </w:rPr>
            </w:pPr>
            <w:r w:rsidRPr="0035712D">
              <w:rPr>
                <w:b w:val="0"/>
                <w:sz w:val="20"/>
                <w:szCs w:val="20"/>
                <w:lang w:val="en-AU"/>
              </w:rPr>
              <w:t>Define how benefits may be measured and reported on in different circumstances</w:t>
            </w:r>
          </w:p>
        </w:tc>
        <w:tc>
          <w:tcPr>
            <w:tcW w:w="987" w:type="dxa"/>
            <w:shd w:val="clear" w:color="auto" w:fill="E7E6E6" w:themeFill="background2"/>
          </w:tcPr>
          <w:p w14:paraId="70DB4D6E" w14:textId="77777777" w:rsidR="00993585" w:rsidRDefault="00993585"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993585" w14:paraId="6813E236"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498D8853" w14:textId="26A5AB0F" w:rsidR="00993585" w:rsidRPr="0035712D" w:rsidRDefault="00993585" w:rsidP="00993585">
            <w:pPr>
              <w:rPr>
                <w:b w:val="0"/>
                <w:sz w:val="20"/>
                <w:szCs w:val="20"/>
                <w:lang w:val="en-AU"/>
              </w:rPr>
            </w:pPr>
            <w:r w:rsidRPr="0035712D">
              <w:rPr>
                <w:b w:val="0"/>
                <w:sz w:val="20"/>
                <w:szCs w:val="20"/>
                <w:lang w:val="en-AU"/>
              </w:rPr>
              <w:t>Set key performance indicators (KPIs) that can be adopted in a specific case, to be tracked through the life of the project</w:t>
            </w:r>
          </w:p>
        </w:tc>
        <w:tc>
          <w:tcPr>
            <w:tcW w:w="987" w:type="dxa"/>
          </w:tcPr>
          <w:p w14:paraId="55B3A6D3" w14:textId="77777777" w:rsidR="00993585" w:rsidRDefault="00993585" w:rsidP="0035712D">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993585" w14:paraId="17C87716"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5DDA3198" w14:textId="3CA01A64" w:rsidR="00993585" w:rsidRPr="0035712D" w:rsidRDefault="00993585" w:rsidP="00993585">
            <w:pPr>
              <w:rPr>
                <w:b w:val="0"/>
                <w:sz w:val="20"/>
                <w:szCs w:val="20"/>
                <w:lang w:val="en-AU"/>
              </w:rPr>
            </w:pPr>
            <w:r w:rsidRPr="0035712D">
              <w:rPr>
                <w:b w:val="0"/>
                <w:sz w:val="20"/>
                <w:szCs w:val="20"/>
                <w:lang w:val="en-AU"/>
              </w:rPr>
              <w:t>Ensure reporting and evaluation frameworks are consistent with council’s monitoring capabilities and available tools</w:t>
            </w:r>
          </w:p>
        </w:tc>
        <w:tc>
          <w:tcPr>
            <w:tcW w:w="987" w:type="dxa"/>
            <w:shd w:val="clear" w:color="auto" w:fill="E7E6E6" w:themeFill="background2"/>
          </w:tcPr>
          <w:p w14:paraId="16AD775A" w14:textId="77777777" w:rsidR="00993585" w:rsidRDefault="00993585" w:rsidP="0035712D">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993585" w14:paraId="527B83B3"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008D5419" w14:textId="65215427" w:rsidR="00993585" w:rsidRPr="0035712D" w:rsidRDefault="00993585" w:rsidP="00993585">
            <w:pPr>
              <w:rPr>
                <w:b w:val="0"/>
                <w:sz w:val="20"/>
                <w:szCs w:val="20"/>
                <w:lang w:val="en-AU"/>
              </w:rPr>
            </w:pPr>
            <w:r w:rsidRPr="0035712D">
              <w:rPr>
                <w:b w:val="0"/>
                <w:sz w:val="20"/>
                <w:szCs w:val="20"/>
                <w:lang w:val="en-AU"/>
              </w:rPr>
              <w:t>Build internal council capacity to monitor compliance and manage relationships with proponents over the long-term</w:t>
            </w:r>
          </w:p>
        </w:tc>
        <w:tc>
          <w:tcPr>
            <w:tcW w:w="987" w:type="dxa"/>
          </w:tcPr>
          <w:p w14:paraId="48DFF309" w14:textId="77777777" w:rsidR="00993585" w:rsidRDefault="00993585" w:rsidP="0035712D">
            <w:pPr>
              <w:jc w:val="cente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993585" w14:paraId="3688E0C3" w14:textId="77777777" w:rsidTr="00993585">
        <w:tc>
          <w:tcPr>
            <w:cnfStyle w:val="001000000000" w:firstRow="0" w:lastRow="0" w:firstColumn="1" w:lastColumn="0" w:oddVBand="0" w:evenVBand="0" w:oddHBand="0" w:evenHBand="0" w:firstRowFirstColumn="0" w:firstRowLastColumn="0" w:lastRowFirstColumn="0" w:lastRowLastColumn="0"/>
            <w:tcW w:w="9493" w:type="dxa"/>
          </w:tcPr>
          <w:p w14:paraId="3CACD4DD" w14:textId="4AA6569A" w:rsidR="00993585" w:rsidRPr="0035712D" w:rsidRDefault="00993585" w:rsidP="00993585">
            <w:pPr>
              <w:rPr>
                <w:b w:val="0"/>
                <w:sz w:val="20"/>
                <w:szCs w:val="20"/>
                <w:lang w:val="en-AU"/>
              </w:rPr>
            </w:pPr>
            <w:r w:rsidRPr="0035712D">
              <w:rPr>
                <w:b w:val="0"/>
                <w:sz w:val="20"/>
                <w:szCs w:val="20"/>
                <w:lang w:val="en-AU"/>
              </w:rPr>
              <w:t>Consider public-facing reporting methods to enhance community transparency and trust</w:t>
            </w:r>
          </w:p>
        </w:tc>
        <w:tc>
          <w:tcPr>
            <w:tcW w:w="987" w:type="dxa"/>
            <w:shd w:val="clear" w:color="auto" w:fill="E7E6E6" w:themeFill="background2"/>
          </w:tcPr>
          <w:p w14:paraId="4D6F0112" w14:textId="27924668" w:rsidR="00993585" w:rsidRPr="00F04375" w:rsidRDefault="00993585" w:rsidP="0035712D">
            <w:pPr>
              <w:jc w:val="center"/>
              <w:cnfStyle w:val="000000000000" w:firstRow="0" w:lastRow="0" w:firstColumn="0" w:lastColumn="0" w:oddVBand="0" w:evenVBand="0" w:oddHBand="0" w:evenHBand="0" w:firstRowFirstColumn="0" w:firstRowLastColumn="0" w:lastRowFirstColumn="0" w:lastRowLastColumn="0"/>
              <w:rPr>
                <w:rFonts w:ascii="Wingdings" w:hAnsi="Wingdings" w:cs="Noto Sans"/>
              </w:rPr>
            </w:pPr>
            <w:r w:rsidRPr="00F04375">
              <w:rPr>
                <w:rFonts w:ascii="Wingdings" w:hAnsi="Wingdings" w:cs="Noto Sans"/>
              </w:rPr>
              <w:t>¨</w:t>
            </w:r>
          </w:p>
        </w:tc>
      </w:tr>
    </w:tbl>
    <w:p w14:paraId="3B9E96F6" w14:textId="77777777" w:rsidR="00636640" w:rsidRDefault="00636640" w:rsidP="00EC0D82">
      <w:pPr>
        <w:spacing w:after="0" w:line="240" w:lineRule="auto"/>
        <w:rPr>
          <w:rFonts w:cs="Noto Sans"/>
          <w:sz w:val="20"/>
          <w:szCs w:val="20"/>
          <w:lang w:val="en-AU"/>
        </w:rPr>
      </w:pPr>
    </w:p>
    <w:p w14:paraId="6CE8CB80" w14:textId="77777777" w:rsidR="00993585" w:rsidRDefault="00993585" w:rsidP="00EC0D82">
      <w:pPr>
        <w:spacing w:after="0" w:line="240" w:lineRule="auto"/>
        <w:rPr>
          <w:rFonts w:cs="Noto Sans"/>
          <w:sz w:val="20"/>
          <w:szCs w:val="20"/>
          <w:lang w:val="en-AU"/>
        </w:rPr>
      </w:pPr>
    </w:p>
    <w:tbl>
      <w:tblPr>
        <w:tblStyle w:val="Table-QldBlue"/>
        <w:tblW w:w="0" w:type="auto"/>
        <w:tblLook w:val="04A0" w:firstRow="1" w:lastRow="0" w:firstColumn="1" w:lastColumn="0" w:noHBand="0" w:noVBand="1"/>
      </w:tblPr>
      <w:tblGrid>
        <w:gridCol w:w="9493"/>
        <w:gridCol w:w="987"/>
      </w:tblGrid>
      <w:tr w:rsidR="00EF0BAF" w14:paraId="030E7BEF" w14:textId="77777777" w:rsidTr="00B40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14:paraId="0D57F995" w14:textId="1680401E" w:rsidR="00EF0BAF" w:rsidRPr="0035712D" w:rsidRDefault="00E9153E" w:rsidP="00B4074F">
            <w:pPr>
              <w:rPr>
                <w:rFonts w:cs="Noto Sans"/>
                <w:sz w:val="20"/>
                <w:szCs w:val="20"/>
                <w:lang w:val="en-AU"/>
              </w:rPr>
            </w:pPr>
            <w:r w:rsidRPr="0035712D">
              <w:rPr>
                <w:rFonts w:cs="Noto Sans"/>
                <w:sz w:val="20"/>
                <w:szCs w:val="20"/>
                <w:lang w:val="en-AU"/>
              </w:rPr>
              <w:lastRenderedPageBreak/>
              <w:t>6. Review and continuous improvement</w:t>
            </w:r>
          </w:p>
        </w:tc>
      </w:tr>
      <w:tr w:rsidR="00EF0BAF" w14:paraId="0C5E1890" w14:textId="77777777" w:rsidTr="00B4074F">
        <w:tc>
          <w:tcPr>
            <w:cnfStyle w:val="001000000000" w:firstRow="0" w:lastRow="0" w:firstColumn="1" w:lastColumn="0" w:oddVBand="0" w:evenVBand="0" w:oddHBand="0" w:evenHBand="0" w:firstRowFirstColumn="0" w:firstRowLastColumn="0" w:lastRowFirstColumn="0" w:lastRowLastColumn="0"/>
            <w:tcW w:w="10480" w:type="dxa"/>
            <w:gridSpan w:val="2"/>
            <w:shd w:val="clear" w:color="auto" w:fill="005EB8" w:themeFill="text1"/>
          </w:tcPr>
          <w:p w14:paraId="5DB53925" w14:textId="52CB7F2B" w:rsidR="00EF0BAF" w:rsidRPr="0035712D" w:rsidRDefault="009F0F66" w:rsidP="00B4074F">
            <w:pPr>
              <w:rPr>
                <w:rFonts w:cs="Noto Sans"/>
                <w:b w:val="0"/>
                <w:color w:val="FFFFFF" w:themeColor="background1"/>
                <w:sz w:val="20"/>
                <w:szCs w:val="20"/>
                <w:lang w:val="en-AU"/>
              </w:rPr>
            </w:pPr>
            <w:r w:rsidRPr="00FC4C9B">
              <w:rPr>
                <w:rFonts w:cs="Noto Sans"/>
                <w:color w:val="FFFFFF" w:themeColor="background1"/>
                <w:lang w:val="en-AU"/>
              </w:rPr>
              <w:t xml:space="preserve">Why it matters: </w:t>
            </w:r>
            <w:r w:rsidRPr="00FC4C9B">
              <w:rPr>
                <w:rFonts w:cs="Noto Sans"/>
                <w:b w:val="0"/>
                <w:color w:val="FFFFFF" w:themeColor="background1"/>
                <w:lang w:val="en-AU"/>
              </w:rPr>
              <w:t>keeping checklists and benefits registers up to date ensures legacy benefits remain relevant and adapt to changing community aspirations</w:t>
            </w:r>
          </w:p>
        </w:tc>
      </w:tr>
      <w:tr w:rsidR="00183DFA" w14:paraId="1479C6C8"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10E107CF" w14:textId="24E3B11C" w:rsidR="00183DFA" w:rsidRPr="0035712D" w:rsidRDefault="00183DFA" w:rsidP="00183DFA">
            <w:pPr>
              <w:rPr>
                <w:rFonts w:cs="Noto Sans"/>
                <w:b w:val="0"/>
                <w:sz w:val="20"/>
                <w:szCs w:val="20"/>
                <w:lang w:val="en-AU"/>
              </w:rPr>
            </w:pPr>
            <w:r w:rsidRPr="0035712D">
              <w:rPr>
                <w:rFonts w:cs="Noto Sans"/>
                <w:b w:val="0"/>
                <w:sz w:val="20"/>
                <w:szCs w:val="20"/>
                <w:lang w:val="en-AU"/>
              </w:rPr>
              <w:t>Ensure council complies with Planning Act requirements for public access to social impacts and community benefits arrangements</w:t>
            </w:r>
          </w:p>
        </w:tc>
        <w:tc>
          <w:tcPr>
            <w:tcW w:w="987" w:type="dxa"/>
            <w:shd w:val="clear" w:color="auto" w:fill="E7E6E6" w:themeFill="background2"/>
          </w:tcPr>
          <w:p w14:paraId="23F54C38" w14:textId="77777777" w:rsidR="00183DFA" w:rsidRDefault="00183DFA"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183DFA" w14:paraId="218B1201"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1ECB903E" w14:textId="042195E4" w:rsidR="00183DFA" w:rsidRPr="0035712D" w:rsidRDefault="00183DFA" w:rsidP="00183DFA">
            <w:pPr>
              <w:rPr>
                <w:rFonts w:cs="Noto Sans"/>
                <w:b w:val="0"/>
                <w:sz w:val="20"/>
                <w:szCs w:val="20"/>
                <w:lang w:val="en-AU"/>
              </w:rPr>
            </w:pPr>
            <w:r w:rsidRPr="0035712D">
              <w:rPr>
                <w:rFonts w:cs="Noto Sans"/>
                <w:b w:val="0"/>
                <w:sz w:val="20"/>
                <w:szCs w:val="20"/>
                <w:lang w:val="en-AU"/>
              </w:rPr>
              <w:t>Schedule regular reviews of community benefit priorities and how they are being delivered</w:t>
            </w:r>
          </w:p>
        </w:tc>
        <w:tc>
          <w:tcPr>
            <w:tcW w:w="987" w:type="dxa"/>
          </w:tcPr>
          <w:p w14:paraId="02696D19" w14:textId="77777777" w:rsidR="00183DFA" w:rsidRDefault="00183DFA"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183DFA" w14:paraId="78DE9746"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6F3E7380" w14:textId="17800F7E" w:rsidR="00183DFA" w:rsidRPr="0035712D" w:rsidRDefault="00183DFA" w:rsidP="00183DFA">
            <w:pPr>
              <w:rPr>
                <w:rFonts w:cs="Noto Sans"/>
                <w:b w:val="0"/>
                <w:sz w:val="20"/>
                <w:szCs w:val="20"/>
                <w:lang w:val="en-AU"/>
              </w:rPr>
            </w:pPr>
            <w:r w:rsidRPr="0035712D">
              <w:rPr>
                <w:rFonts w:cs="Noto Sans"/>
                <w:b w:val="0"/>
                <w:sz w:val="20"/>
                <w:szCs w:val="20"/>
                <w:lang w:val="en-AU"/>
              </w:rPr>
              <w:t>Consider lessons learned from past projects to refine future expectations</w:t>
            </w:r>
          </w:p>
        </w:tc>
        <w:tc>
          <w:tcPr>
            <w:tcW w:w="987" w:type="dxa"/>
            <w:shd w:val="clear" w:color="auto" w:fill="E7E6E6" w:themeFill="background2"/>
          </w:tcPr>
          <w:p w14:paraId="49E1DCC0" w14:textId="77777777" w:rsidR="00183DFA" w:rsidRDefault="00183DFA"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183DFA" w14:paraId="338F8CEC" w14:textId="77777777" w:rsidTr="00B4074F">
        <w:tc>
          <w:tcPr>
            <w:cnfStyle w:val="001000000000" w:firstRow="0" w:lastRow="0" w:firstColumn="1" w:lastColumn="0" w:oddVBand="0" w:evenVBand="0" w:oddHBand="0" w:evenHBand="0" w:firstRowFirstColumn="0" w:firstRowLastColumn="0" w:lastRowFirstColumn="0" w:lastRowLastColumn="0"/>
            <w:tcW w:w="9493" w:type="dxa"/>
            <w:shd w:val="clear" w:color="auto" w:fill="FFFFFF" w:themeFill="background1"/>
          </w:tcPr>
          <w:p w14:paraId="0E5E5D5B" w14:textId="26DF0913" w:rsidR="00183DFA" w:rsidRPr="0035712D" w:rsidRDefault="00183DFA" w:rsidP="00183DFA">
            <w:pPr>
              <w:rPr>
                <w:rFonts w:cs="Noto Sans"/>
                <w:b w:val="0"/>
                <w:sz w:val="20"/>
                <w:szCs w:val="20"/>
                <w:lang w:val="en-AU"/>
              </w:rPr>
            </w:pPr>
            <w:r w:rsidRPr="0035712D">
              <w:rPr>
                <w:rFonts w:cs="Noto Sans"/>
                <w:b w:val="0"/>
                <w:sz w:val="20"/>
                <w:szCs w:val="20"/>
                <w:lang w:val="en-AU"/>
              </w:rPr>
              <w:t>Keep community members involved in reviewing and refreshing benefit lists as needs change</w:t>
            </w:r>
          </w:p>
        </w:tc>
        <w:tc>
          <w:tcPr>
            <w:tcW w:w="987" w:type="dxa"/>
          </w:tcPr>
          <w:p w14:paraId="55302886" w14:textId="77777777" w:rsidR="00183DFA" w:rsidRDefault="00183DFA"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r w:rsidR="00183DFA" w14:paraId="325320D3" w14:textId="77777777" w:rsidTr="00B4074F">
        <w:tc>
          <w:tcPr>
            <w:cnfStyle w:val="001000000000" w:firstRow="0" w:lastRow="0" w:firstColumn="1" w:lastColumn="0" w:oddVBand="0" w:evenVBand="0" w:oddHBand="0" w:evenHBand="0" w:firstRowFirstColumn="0" w:firstRowLastColumn="0" w:lastRowFirstColumn="0" w:lastRowLastColumn="0"/>
            <w:tcW w:w="9493" w:type="dxa"/>
          </w:tcPr>
          <w:p w14:paraId="251E1752" w14:textId="556BEF80" w:rsidR="00183DFA" w:rsidRPr="0035712D" w:rsidRDefault="00183DFA" w:rsidP="00183DFA">
            <w:pPr>
              <w:rPr>
                <w:rFonts w:cs="Noto Sans"/>
                <w:b w:val="0"/>
                <w:sz w:val="20"/>
                <w:szCs w:val="20"/>
                <w:lang w:val="en-AU"/>
              </w:rPr>
            </w:pPr>
            <w:r w:rsidRPr="0035712D">
              <w:rPr>
                <w:rFonts w:cs="Noto Sans"/>
                <w:b w:val="0"/>
                <w:sz w:val="20"/>
                <w:szCs w:val="20"/>
                <w:lang w:val="en-AU"/>
              </w:rPr>
              <w:t>Adapt benefit expectations and delivery models in response to updated statutory requirements, market conditions, or infrastructure impacts</w:t>
            </w:r>
          </w:p>
        </w:tc>
        <w:tc>
          <w:tcPr>
            <w:tcW w:w="987" w:type="dxa"/>
            <w:shd w:val="clear" w:color="auto" w:fill="E7E6E6" w:themeFill="background2"/>
          </w:tcPr>
          <w:p w14:paraId="0E71799C" w14:textId="77777777" w:rsidR="00183DFA" w:rsidRDefault="00183DFA" w:rsidP="001446F5">
            <w:pPr>
              <w:cnfStyle w:val="000000000000" w:firstRow="0" w:lastRow="0" w:firstColumn="0" w:lastColumn="0" w:oddVBand="0" w:evenVBand="0" w:oddHBand="0" w:evenHBand="0" w:firstRowFirstColumn="0" w:firstRowLastColumn="0" w:lastRowFirstColumn="0" w:lastRowLastColumn="0"/>
              <w:rPr>
                <w:lang w:val="en-AU"/>
              </w:rPr>
            </w:pPr>
            <w:r w:rsidRPr="00F04375">
              <w:rPr>
                <w:rFonts w:ascii="Wingdings" w:hAnsi="Wingdings" w:cs="Noto Sans"/>
              </w:rPr>
              <w:t>¨</w:t>
            </w:r>
          </w:p>
        </w:tc>
      </w:tr>
    </w:tbl>
    <w:p w14:paraId="6D2BE1E7" w14:textId="77777777" w:rsidR="00EF0BAF" w:rsidRDefault="00EF0BAF" w:rsidP="00EC0D82">
      <w:pPr>
        <w:spacing w:after="0" w:line="240" w:lineRule="auto"/>
        <w:rPr>
          <w:rFonts w:cs="Noto Sans"/>
          <w:sz w:val="20"/>
          <w:szCs w:val="20"/>
          <w:lang w:val="en-AU"/>
        </w:rPr>
      </w:pPr>
    </w:p>
    <w:p w14:paraId="46BBDB16" w14:textId="77777777" w:rsidR="00EF0BAF" w:rsidRPr="002A3AA8" w:rsidRDefault="00EF0BAF" w:rsidP="00EF0BAF">
      <w:pPr>
        <w:rPr>
          <w:i/>
          <w:lang w:val="en-AU"/>
        </w:rPr>
      </w:pPr>
      <w:r w:rsidRPr="002A3AA8">
        <w:rPr>
          <w:i/>
          <w:lang w:val="en-AU"/>
        </w:rPr>
        <w:t xml:space="preserve">* </w:t>
      </w:r>
      <w:proofErr w:type="gramStart"/>
      <w:r w:rsidRPr="002A3AA8">
        <w:rPr>
          <w:i/>
          <w:lang w:val="en-AU"/>
        </w:rPr>
        <w:t>indicates</w:t>
      </w:r>
      <w:proofErr w:type="gramEnd"/>
      <w:r w:rsidRPr="002A3AA8">
        <w:rPr>
          <w:i/>
          <w:lang w:val="en-AU"/>
        </w:rPr>
        <w:t xml:space="preserve"> critical questions</w:t>
      </w:r>
    </w:p>
    <w:p w14:paraId="2FD0A519" w14:textId="676005C5" w:rsidR="00EF0BAF" w:rsidRPr="002A3AA8" w:rsidRDefault="00EF0BAF" w:rsidP="00EF0BAF">
      <w:pPr>
        <w:rPr>
          <w:i/>
          <w:lang w:val="en-AU"/>
        </w:rPr>
      </w:pPr>
      <w:bookmarkStart w:id="0" w:name="_Toc211343417"/>
      <w:bookmarkStart w:id="1" w:name="_Toc211341893"/>
      <w:r w:rsidRPr="002A3AA8">
        <w:rPr>
          <w:i/>
          <w:lang w:val="en-AU"/>
        </w:rPr>
        <w:t>Tool</w:t>
      </w:r>
      <w:r w:rsidR="006D2E38">
        <w:rPr>
          <w:i/>
          <w:lang w:val="en-AU"/>
        </w:rPr>
        <w:t xml:space="preserve"> 5</w:t>
      </w:r>
      <w:r w:rsidRPr="002A3AA8">
        <w:rPr>
          <w:i/>
          <w:lang w:val="en-AU"/>
        </w:rPr>
        <w:t>: Developing community legacy benefits checklist</w:t>
      </w:r>
      <w:bookmarkEnd w:id="0"/>
      <w:bookmarkEnd w:id="1"/>
      <w:r w:rsidRPr="002A3AA8">
        <w:rPr>
          <w:i/>
          <w:lang w:val="en-AU"/>
        </w:rPr>
        <w:t xml:space="preserve"> </w:t>
      </w:r>
    </w:p>
    <w:p w14:paraId="02E78930" w14:textId="77777777" w:rsidR="00F611CC" w:rsidRPr="00F611CC" w:rsidRDefault="00F611CC" w:rsidP="00F611CC">
      <w:pPr>
        <w:rPr>
          <w:rFonts w:cs="Noto Sans"/>
          <w:i/>
          <w:iCs/>
          <w:lang w:val="en-AU"/>
        </w:rPr>
      </w:pPr>
      <w:r w:rsidRPr="00F611CC">
        <w:rPr>
          <w:rFonts w:cs="Noto Sans"/>
          <w:i/>
          <w:iCs/>
          <w:lang w:val="en-AU"/>
        </w:rPr>
        <w:t>This Tool and associated material is provided for information purposes only and does not provide statutory or legal advice. Users should obtain their own independent technical and legal advice.</w:t>
      </w:r>
    </w:p>
    <w:p w14:paraId="08628603" w14:textId="77777777" w:rsidR="00EF0BAF" w:rsidRPr="002A3AA8" w:rsidRDefault="00EF0BAF" w:rsidP="002A3AA8">
      <w:pPr>
        <w:rPr>
          <w:rFonts w:cs="Noto Sans"/>
          <w:i/>
          <w:lang w:val="en-AU"/>
        </w:rPr>
      </w:pPr>
    </w:p>
    <w:p w14:paraId="5BB32A77" w14:textId="1B1CCEDE" w:rsidR="002F5A82" w:rsidRDefault="002F5A82" w:rsidP="00EC0D82">
      <w:pPr>
        <w:spacing w:after="0" w:line="240" w:lineRule="auto"/>
        <w:rPr>
          <w:rFonts w:cs="Noto Sans"/>
          <w:sz w:val="20"/>
          <w:szCs w:val="20"/>
          <w:lang w:val="en-AU"/>
        </w:rPr>
      </w:pPr>
    </w:p>
    <w:sectPr w:rsidR="002F5A82" w:rsidSect="008E4240">
      <w:footerReference w:type="default" r:id="rId11"/>
      <w:headerReference w:type="first" r:id="rId12"/>
      <w:pgSz w:w="11906" w:h="16838" w:code="9"/>
      <w:pgMar w:top="993" w:right="707" w:bottom="880" w:left="709"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3357" w14:textId="77777777" w:rsidR="00C6660E" w:rsidRDefault="00C6660E" w:rsidP="00190C24">
      <w:r>
        <w:separator/>
      </w:r>
    </w:p>
  </w:endnote>
  <w:endnote w:type="continuationSeparator" w:id="0">
    <w:p w14:paraId="06FBE9CC" w14:textId="77777777" w:rsidR="00C6660E" w:rsidRDefault="00C6660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D35A" w14:textId="30DDE881" w:rsidR="00D17E7D" w:rsidRDefault="00D17E7D">
    <w:pPr>
      <w:pStyle w:val="Footer"/>
    </w:pPr>
  </w:p>
  <w:p w14:paraId="0B70DE84" w14:textId="3CCE82F2" w:rsidR="00D17E7D" w:rsidRDefault="00EF633F">
    <w:pPr>
      <w:pStyle w:val="Footer"/>
    </w:pPr>
    <w:r>
      <w:rPr>
        <w:noProof/>
      </w:rPr>
      <w:drawing>
        <wp:anchor distT="0" distB="0" distL="114300" distR="114300" simplePos="0" relativeHeight="251658240" behindDoc="1" locked="0" layoutInCell="1" allowOverlap="1" wp14:anchorId="183C4E1A" wp14:editId="5572C2A4">
          <wp:simplePos x="0" y="0"/>
          <wp:positionH relativeFrom="column">
            <wp:posOffset>3470275</wp:posOffset>
          </wp:positionH>
          <wp:positionV relativeFrom="paragraph">
            <wp:posOffset>-90805</wp:posOffset>
          </wp:positionV>
          <wp:extent cx="3096895" cy="520065"/>
          <wp:effectExtent l="0" t="0" r="1905" b="635"/>
          <wp:wrapNone/>
          <wp:docPr id="1399050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041537FC"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86EE" w14:textId="77777777" w:rsidR="00C6660E" w:rsidRDefault="00C6660E" w:rsidP="00190C24">
      <w:r>
        <w:separator/>
      </w:r>
    </w:p>
  </w:footnote>
  <w:footnote w:type="continuationSeparator" w:id="0">
    <w:p w14:paraId="3665CD25" w14:textId="77777777" w:rsidR="00C6660E" w:rsidRDefault="00C6660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835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97D3CDB"/>
    <w:multiLevelType w:val="hybridMultilevel"/>
    <w:tmpl w:val="9A788592"/>
    <w:lvl w:ilvl="0" w:tplc="F95CE7D8">
      <w:start w:val="1"/>
      <w:numFmt w:val="bullet"/>
      <w:lvlText w:val=""/>
      <w:lvlJc w:val="left"/>
      <w:pPr>
        <w:ind w:left="360" w:hanging="360"/>
      </w:pPr>
      <w:rPr>
        <w:rFonts w:ascii="Symbol" w:hAnsi="Symbol" w:hint="default"/>
      </w:rPr>
    </w:lvl>
    <w:lvl w:ilvl="1" w:tplc="0D281850">
      <w:start w:val="1"/>
      <w:numFmt w:val="bullet"/>
      <w:lvlText w:val="o"/>
      <w:lvlJc w:val="left"/>
      <w:pPr>
        <w:ind w:left="1080" w:hanging="360"/>
      </w:pPr>
      <w:rPr>
        <w:rFonts w:ascii="Courier New" w:hAnsi="Courier New" w:cs="Times New Roman" w:hint="default"/>
      </w:rPr>
    </w:lvl>
    <w:lvl w:ilvl="2" w:tplc="F9BAF7D0">
      <w:start w:val="1"/>
      <w:numFmt w:val="bullet"/>
      <w:lvlText w:val=""/>
      <w:lvlJc w:val="left"/>
      <w:pPr>
        <w:ind w:left="1800" w:hanging="360"/>
      </w:pPr>
      <w:rPr>
        <w:rFonts w:ascii="Wingdings" w:hAnsi="Wingdings" w:hint="default"/>
      </w:rPr>
    </w:lvl>
    <w:lvl w:ilvl="3" w:tplc="A502DE90">
      <w:start w:val="1"/>
      <w:numFmt w:val="bullet"/>
      <w:lvlText w:val=""/>
      <w:lvlJc w:val="left"/>
      <w:pPr>
        <w:ind w:left="2520" w:hanging="360"/>
      </w:pPr>
      <w:rPr>
        <w:rFonts w:ascii="Symbol" w:hAnsi="Symbol" w:hint="default"/>
      </w:rPr>
    </w:lvl>
    <w:lvl w:ilvl="4" w:tplc="EE5CD400">
      <w:start w:val="1"/>
      <w:numFmt w:val="bullet"/>
      <w:lvlText w:val="o"/>
      <w:lvlJc w:val="left"/>
      <w:pPr>
        <w:ind w:left="3240" w:hanging="360"/>
      </w:pPr>
      <w:rPr>
        <w:rFonts w:ascii="Courier New" w:hAnsi="Courier New" w:cs="Times New Roman" w:hint="default"/>
      </w:rPr>
    </w:lvl>
    <w:lvl w:ilvl="5" w:tplc="A118B238">
      <w:start w:val="1"/>
      <w:numFmt w:val="bullet"/>
      <w:lvlText w:val=""/>
      <w:lvlJc w:val="left"/>
      <w:pPr>
        <w:ind w:left="3960" w:hanging="360"/>
      </w:pPr>
      <w:rPr>
        <w:rFonts w:ascii="Wingdings" w:hAnsi="Wingdings" w:hint="default"/>
      </w:rPr>
    </w:lvl>
    <w:lvl w:ilvl="6" w:tplc="B884233E">
      <w:start w:val="1"/>
      <w:numFmt w:val="bullet"/>
      <w:lvlText w:val=""/>
      <w:lvlJc w:val="left"/>
      <w:pPr>
        <w:ind w:left="4680" w:hanging="360"/>
      </w:pPr>
      <w:rPr>
        <w:rFonts w:ascii="Symbol" w:hAnsi="Symbol" w:hint="default"/>
      </w:rPr>
    </w:lvl>
    <w:lvl w:ilvl="7" w:tplc="5F0E3364">
      <w:start w:val="1"/>
      <w:numFmt w:val="bullet"/>
      <w:lvlText w:val="o"/>
      <w:lvlJc w:val="left"/>
      <w:pPr>
        <w:ind w:left="5400" w:hanging="360"/>
      </w:pPr>
      <w:rPr>
        <w:rFonts w:ascii="Courier New" w:hAnsi="Courier New" w:cs="Times New Roman" w:hint="default"/>
      </w:rPr>
    </w:lvl>
    <w:lvl w:ilvl="8" w:tplc="F8EE69C4">
      <w:start w:val="1"/>
      <w:numFmt w:val="bullet"/>
      <w:lvlText w:val=""/>
      <w:lvlJc w:val="left"/>
      <w:pPr>
        <w:ind w:left="6120" w:hanging="360"/>
      </w:pPr>
      <w:rPr>
        <w:rFonts w:ascii="Wingdings" w:hAnsi="Wingdings" w:hint="default"/>
      </w:rPr>
    </w:lvl>
  </w:abstractNum>
  <w:abstractNum w:abstractNumId="3" w15:restartNumberingAfterBreak="0">
    <w:nsid w:val="16BD7622"/>
    <w:multiLevelType w:val="multilevel"/>
    <w:tmpl w:val="019AB3A6"/>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Aptos" w:hAnsi="Aptos" w:hint="default"/>
      </w:rPr>
    </w:lvl>
    <w:lvl w:ilvl="2">
      <w:start w:val="1"/>
      <w:numFmt w:val="bullet"/>
      <w:lvlText w:val="•"/>
      <w:lvlJc w:val="left"/>
      <w:pPr>
        <w:ind w:left="1800" w:hanging="360"/>
      </w:pPr>
      <w:rPr>
        <w:rFonts w:ascii="Arial" w:hAnsi="Arial" w:cs="Times New Roman"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31FFB"/>
    <w:multiLevelType w:val="hybridMultilevel"/>
    <w:tmpl w:val="1A22E460"/>
    <w:lvl w:ilvl="0" w:tplc="80F8227E">
      <w:start w:val="1"/>
      <w:numFmt w:val="bullet"/>
      <w:lvlText w:val=""/>
      <w:lvlJc w:val="left"/>
      <w:pPr>
        <w:ind w:left="360" w:hanging="360"/>
      </w:pPr>
      <w:rPr>
        <w:rFonts w:ascii="Symbol" w:hAnsi="Symbol" w:hint="default"/>
      </w:rPr>
    </w:lvl>
    <w:lvl w:ilvl="1" w:tplc="88640886">
      <w:start w:val="1"/>
      <w:numFmt w:val="bullet"/>
      <w:lvlText w:val="o"/>
      <w:lvlJc w:val="left"/>
      <w:pPr>
        <w:ind w:left="1080" w:hanging="360"/>
      </w:pPr>
      <w:rPr>
        <w:rFonts w:ascii="Courier New" w:hAnsi="Courier New" w:cs="Times New Roman" w:hint="default"/>
      </w:rPr>
    </w:lvl>
    <w:lvl w:ilvl="2" w:tplc="37FAD964">
      <w:start w:val="1"/>
      <w:numFmt w:val="bullet"/>
      <w:lvlText w:val=""/>
      <w:lvlJc w:val="left"/>
      <w:pPr>
        <w:ind w:left="1800" w:hanging="360"/>
      </w:pPr>
      <w:rPr>
        <w:rFonts w:ascii="Wingdings" w:hAnsi="Wingdings" w:hint="default"/>
      </w:rPr>
    </w:lvl>
    <w:lvl w:ilvl="3" w:tplc="8AD818B6">
      <w:start w:val="1"/>
      <w:numFmt w:val="bullet"/>
      <w:lvlText w:val=""/>
      <w:lvlJc w:val="left"/>
      <w:pPr>
        <w:ind w:left="2520" w:hanging="360"/>
      </w:pPr>
      <w:rPr>
        <w:rFonts w:ascii="Symbol" w:hAnsi="Symbol" w:hint="default"/>
      </w:rPr>
    </w:lvl>
    <w:lvl w:ilvl="4" w:tplc="42A88A00">
      <w:start w:val="1"/>
      <w:numFmt w:val="bullet"/>
      <w:lvlText w:val="o"/>
      <w:lvlJc w:val="left"/>
      <w:pPr>
        <w:ind w:left="3240" w:hanging="360"/>
      </w:pPr>
      <w:rPr>
        <w:rFonts w:ascii="Courier New" w:hAnsi="Courier New" w:cs="Times New Roman" w:hint="default"/>
      </w:rPr>
    </w:lvl>
    <w:lvl w:ilvl="5" w:tplc="987AF1C2">
      <w:start w:val="1"/>
      <w:numFmt w:val="bullet"/>
      <w:lvlText w:val=""/>
      <w:lvlJc w:val="left"/>
      <w:pPr>
        <w:ind w:left="3960" w:hanging="360"/>
      </w:pPr>
      <w:rPr>
        <w:rFonts w:ascii="Wingdings" w:hAnsi="Wingdings" w:hint="default"/>
      </w:rPr>
    </w:lvl>
    <w:lvl w:ilvl="6" w:tplc="581ED2BA">
      <w:start w:val="1"/>
      <w:numFmt w:val="bullet"/>
      <w:lvlText w:val=""/>
      <w:lvlJc w:val="left"/>
      <w:pPr>
        <w:ind w:left="4680" w:hanging="360"/>
      </w:pPr>
      <w:rPr>
        <w:rFonts w:ascii="Symbol" w:hAnsi="Symbol" w:hint="default"/>
      </w:rPr>
    </w:lvl>
    <w:lvl w:ilvl="7" w:tplc="D176560C">
      <w:start w:val="1"/>
      <w:numFmt w:val="bullet"/>
      <w:lvlText w:val="o"/>
      <w:lvlJc w:val="left"/>
      <w:pPr>
        <w:ind w:left="5400" w:hanging="360"/>
      </w:pPr>
      <w:rPr>
        <w:rFonts w:ascii="Courier New" w:hAnsi="Courier New" w:cs="Times New Roman" w:hint="default"/>
      </w:rPr>
    </w:lvl>
    <w:lvl w:ilvl="8" w:tplc="71EE3FE4">
      <w:start w:val="1"/>
      <w:numFmt w:val="bullet"/>
      <w:lvlText w:val=""/>
      <w:lvlJc w:val="left"/>
      <w:pPr>
        <w:ind w:left="6120" w:hanging="360"/>
      </w:pPr>
      <w:rPr>
        <w:rFonts w:ascii="Wingdings" w:hAnsi="Wingdings" w:hint="default"/>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111902"/>
    <w:multiLevelType w:val="hybridMultilevel"/>
    <w:tmpl w:val="0A7CA60A"/>
    <w:lvl w:ilvl="0" w:tplc="9BA0B022">
      <w:start w:val="1"/>
      <w:numFmt w:val="bullet"/>
      <w:lvlText w:val=""/>
      <w:lvlJc w:val="left"/>
      <w:pPr>
        <w:ind w:left="360" w:hanging="360"/>
      </w:pPr>
      <w:rPr>
        <w:rFonts w:ascii="Symbol" w:hAnsi="Symbol" w:hint="default"/>
      </w:rPr>
    </w:lvl>
    <w:lvl w:ilvl="1" w:tplc="B9686700">
      <w:start w:val="1"/>
      <w:numFmt w:val="bullet"/>
      <w:lvlText w:val="o"/>
      <w:lvlJc w:val="left"/>
      <w:pPr>
        <w:ind w:left="1080" w:hanging="360"/>
      </w:pPr>
      <w:rPr>
        <w:rFonts w:ascii="Courier New" w:hAnsi="Courier New" w:cs="Times New Roman" w:hint="default"/>
      </w:rPr>
    </w:lvl>
    <w:lvl w:ilvl="2" w:tplc="C5A4BEDE">
      <w:start w:val="1"/>
      <w:numFmt w:val="bullet"/>
      <w:lvlText w:val=""/>
      <w:lvlJc w:val="left"/>
      <w:pPr>
        <w:ind w:left="1800" w:hanging="360"/>
      </w:pPr>
      <w:rPr>
        <w:rFonts w:ascii="Wingdings" w:hAnsi="Wingdings" w:hint="default"/>
      </w:rPr>
    </w:lvl>
    <w:lvl w:ilvl="3" w:tplc="F41ED404">
      <w:start w:val="1"/>
      <w:numFmt w:val="bullet"/>
      <w:lvlText w:val=""/>
      <w:lvlJc w:val="left"/>
      <w:pPr>
        <w:ind w:left="2520" w:hanging="360"/>
      </w:pPr>
      <w:rPr>
        <w:rFonts w:ascii="Symbol" w:hAnsi="Symbol" w:hint="default"/>
      </w:rPr>
    </w:lvl>
    <w:lvl w:ilvl="4" w:tplc="429CE496">
      <w:start w:val="1"/>
      <w:numFmt w:val="bullet"/>
      <w:lvlText w:val="o"/>
      <w:lvlJc w:val="left"/>
      <w:pPr>
        <w:ind w:left="3240" w:hanging="360"/>
      </w:pPr>
      <w:rPr>
        <w:rFonts w:ascii="Courier New" w:hAnsi="Courier New" w:cs="Times New Roman" w:hint="default"/>
      </w:rPr>
    </w:lvl>
    <w:lvl w:ilvl="5" w:tplc="0750FD06">
      <w:start w:val="1"/>
      <w:numFmt w:val="bullet"/>
      <w:lvlText w:val=""/>
      <w:lvlJc w:val="left"/>
      <w:pPr>
        <w:ind w:left="3960" w:hanging="360"/>
      </w:pPr>
      <w:rPr>
        <w:rFonts w:ascii="Wingdings" w:hAnsi="Wingdings" w:hint="default"/>
      </w:rPr>
    </w:lvl>
    <w:lvl w:ilvl="6" w:tplc="7FAC5938">
      <w:start w:val="1"/>
      <w:numFmt w:val="bullet"/>
      <w:lvlText w:val=""/>
      <w:lvlJc w:val="left"/>
      <w:pPr>
        <w:ind w:left="4680" w:hanging="360"/>
      </w:pPr>
      <w:rPr>
        <w:rFonts w:ascii="Symbol" w:hAnsi="Symbol" w:hint="default"/>
      </w:rPr>
    </w:lvl>
    <w:lvl w:ilvl="7" w:tplc="28E2CE50">
      <w:start w:val="1"/>
      <w:numFmt w:val="bullet"/>
      <w:lvlText w:val="o"/>
      <w:lvlJc w:val="left"/>
      <w:pPr>
        <w:ind w:left="5400" w:hanging="360"/>
      </w:pPr>
      <w:rPr>
        <w:rFonts w:ascii="Courier New" w:hAnsi="Courier New" w:cs="Times New Roman" w:hint="default"/>
      </w:rPr>
    </w:lvl>
    <w:lvl w:ilvl="8" w:tplc="835E3616">
      <w:start w:val="1"/>
      <w:numFmt w:val="bullet"/>
      <w:lvlText w:val=""/>
      <w:lvlJc w:val="left"/>
      <w:pPr>
        <w:ind w:left="6120" w:hanging="360"/>
      </w:pPr>
      <w:rPr>
        <w:rFonts w:ascii="Wingdings" w:hAnsi="Wingdings" w:hint="default"/>
      </w:rPr>
    </w:lvl>
  </w:abstractNum>
  <w:num w:numId="1" w16cid:durableId="1371102511">
    <w:abstractNumId w:val="1"/>
  </w:num>
  <w:num w:numId="2" w16cid:durableId="800348836">
    <w:abstractNumId w:val="7"/>
  </w:num>
  <w:num w:numId="3" w16cid:durableId="424690506">
    <w:abstractNumId w:val="5"/>
  </w:num>
  <w:num w:numId="4" w16cid:durableId="1352219071">
    <w:abstractNumId w:val="0"/>
  </w:num>
  <w:num w:numId="5" w16cid:durableId="688750406">
    <w:abstractNumId w:val="10"/>
  </w:num>
  <w:num w:numId="6" w16cid:durableId="1022130639">
    <w:abstractNumId w:val="9"/>
  </w:num>
  <w:num w:numId="7" w16cid:durableId="1282805254">
    <w:abstractNumId w:val="4"/>
  </w:num>
  <w:num w:numId="8" w16cid:durableId="449936833">
    <w:abstractNumId w:val="8"/>
  </w:num>
  <w:num w:numId="9" w16cid:durableId="458960071">
    <w:abstractNumId w:val="6"/>
  </w:num>
  <w:num w:numId="10" w16cid:durableId="227543886">
    <w:abstractNumId w:val="11"/>
  </w:num>
  <w:num w:numId="11" w16cid:durableId="612714965">
    <w:abstractNumId w:val="2"/>
  </w:num>
  <w:num w:numId="12" w16cid:durableId="444082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E4"/>
    <w:rsid w:val="00003124"/>
    <w:rsid w:val="00007985"/>
    <w:rsid w:val="0002155B"/>
    <w:rsid w:val="00024C2B"/>
    <w:rsid w:val="000425F7"/>
    <w:rsid w:val="000436FC"/>
    <w:rsid w:val="00044ABC"/>
    <w:rsid w:val="0005471A"/>
    <w:rsid w:val="00066E58"/>
    <w:rsid w:val="000B5D63"/>
    <w:rsid w:val="000B61AC"/>
    <w:rsid w:val="000C6874"/>
    <w:rsid w:val="000E0C63"/>
    <w:rsid w:val="000E1223"/>
    <w:rsid w:val="000E4E91"/>
    <w:rsid w:val="000F4E58"/>
    <w:rsid w:val="000F7FDE"/>
    <w:rsid w:val="001000FC"/>
    <w:rsid w:val="00101904"/>
    <w:rsid w:val="0011122C"/>
    <w:rsid w:val="001156EB"/>
    <w:rsid w:val="001206C4"/>
    <w:rsid w:val="001222EA"/>
    <w:rsid w:val="00123365"/>
    <w:rsid w:val="00127BDD"/>
    <w:rsid w:val="00131598"/>
    <w:rsid w:val="00134EFF"/>
    <w:rsid w:val="00136F9B"/>
    <w:rsid w:val="00143EAF"/>
    <w:rsid w:val="001446F5"/>
    <w:rsid w:val="0014521E"/>
    <w:rsid w:val="00177D4C"/>
    <w:rsid w:val="001829CD"/>
    <w:rsid w:val="00183DFA"/>
    <w:rsid w:val="00190C24"/>
    <w:rsid w:val="00192125"/>
    <w:rsid w:val="001B7534"/>
    <w:rsid w:val="001C089F"/>
    <w:rsid w:val="001C11D2"/>
    <w:rsid w:val="001C43F0"/>
    <w:rsid w:val="001D2328"/>
    <w:rsid w:val="001D4532"/>
    <w:rsid w:val="001E70E9"/>
    <w:rsid w:val="001F2B12"/>
    <w:rsid w:val="001F3A36"/>
    <w:rsid w:val="00227C27"/>
    <w:rsid w:val="002371F7"/>
    <w:rsid w:val="0024520B"/>
    <w:rsid w:val="002706E8"/>
    <w:rsid w:val="00273E87"/>
    <w:rsid w:val="002A3134"/>
    <w:rsid w:val="002A3AA8"/>
    <w:rsid w:val="002A673F"/>
    <w:rsid w:val="002B0493"/>
    <w:rsid w:val="002B15E5"/>
    <w:rsid w:val="002B5219"/>
    <w:rsid w:val="002B7607"/>
    <w:rsid w:val="002C3A02"/>
    <w:rsid w:val="002C47FC"/>
    <w:rsid w:val="002D20CE"/>
    <w:rsid w:val="002D2D4F"/>
    <w:rsid w:val="002E1B2E"/>
    <w:rsid w:val="002E3E34"/>
    <w:rsid w:val="002E4640"/>
    <w:rsid w:val="002F5A82"/>
    <w:rsid w:val="002F68FF"/>
    <w:rsid w:val="002F78A2"/>
    <w:rsid w:val="00303154"/>
    <w:rsid w:val="003130CC"/>
    <w:rsid w:val="00317F74"/>
    <w:rsid w:val="00320670"/>
    <w:rsid w:val="0032212E"/>
    <w:rsid w:val="00325C96"/>
    <w:rsid w:val="00337EAA"/>
    <w:rsid w:val="0034045C"/>
    <w:rsid w:val="00345A61"/>
    <w:rsid w:val="003535F0"/>
    <w:rsid w:val="00355E78"/>
    <w:rsid w:val="0035712D"/>
    <w:rsid w:val="0036058D"/>
    <w:rsid w:val="0036434D"/>
    <w:rsid w:val="0036506A"/>
    <w:rsid w:val="0038096F"/>
    <w:rsid w:val="00385A56"/>
    <w:rsid w:val="00396D5E"/>
    <w:rsid w:val="003975D2"/>
    <w:rsid w:val="003A2CD7"/>
    <w:rsid w:val="003A78AB"/>
    <w:rsid w:val="003B361F"/>
    <w:rsid w:val="003B6C94"/>
    <w:rsid w:val="003C2B38"/>
    <w:rsid w:val="003C33FE"/>
    <w:rsid w:val="003D33F7"/>
    <w:rsid w:val="003D540F"/>
    <w:rsid w:val="003E5C52"/>
    <w:rsid w:val="003F05E4"/>
    <w:rsid w:val="003F643A"/>
    <w:rsid w:val="00402CFC"/>
    <w:rsid w:val="00403EF1"/>
    <w:rsid w:val="00404BCA"/>
    <w:rsid w:val="00416A49"/>
    <w:rsid w:val="00427B82"/>
    <w:rsid w:val="00440040"/>
    <w:rsid w:val="00442FE1"/>
    <w:rsid w:val="004468D2"/>
    <w:rsid w:val="004562DA"/>
    <w:rsid w:val="00464FD0"/>
    <w:rsid w:val="004718B3"/>
    <w:rsid w:val="00476A07"/>
    <w:rsid w:val="00487D4D"/>
    <w:rsid w:val="0049689A"/>
    <w:rsid w:val="004A5E19"/>
    <w:rsid w:val="004B0995"/>
    <w:rsid w:val="004C5128"/>
    <w:rsid w:val="004E5A25"/>
    <w:rsid w:val="004E62A1"/>
    <w:rsid w:val="004E75C5"/>
    <w:rsid w:val="00516F1B"/>
    <w:rsid w:val="005273FC"/>
    <w:rsid w:val="005330E2"/>
    <w:rsid w:val="00540992"/>
    <w:rsid w:val="0054224B"/>
    <w:rsid w:val="00543A32"/>
    <w:rsid w:val="00554F17"/>
    <w:rsid w:val="00555585"/>
    <w:rsid w:val="0055582F"/>
    <w:rsid w:val="00555C3B"/>
    <w:rsid w:val="005706E5"/>
    <w:rsid w:val="005A28EB"/>
    <w:rsid w:val="005B0EC5"/>
    <w:rsid w:val="005B79A8"/>
    <w:rsid w:val="005C4405"/>
    <w:rsid w:val="005C68D9"/>
    <w:rsid w:val="005F3FBB"/>
    <w:rsid w:val="005F4331"/>
    <w:rsid w:val="005F7D00"/>
    <w:rsid w:val="005F7E6D"/>
    <w:rsid w:val="006170DE"/>
    <w:rsid w:val="0062040F"/>
    <w:rsid w:val="006239A5"/>
    <w:rsid w:val="00636640"/>
    <w:rsid w:val="00636B71"/>
    <w:rsid w:val="006420CC"/>
    <w:rsid w:val="00642546"/>
    <w:rsid w:val="00646AE8"/>
    <w:rsid w:val="006658D2"/>
    <w:rsid w:val="00672747"/>
    <w:rsid w:val="00697AB1"/>
    <w:rsid w:val="006C3D8E"/>
    <w:rsid w:val="006C52B4"/>
    <w:rsid w:val="006D2E38"/>
    <w:rsid w:val="006F0011"/>
    <w:rsid w:val="006F1B8A"/>
    <w:rsid w:val="00713B99"/>
    <w:rsid w:val="007274E7"/>
    <w:rsid w:val="007308FF"/>
    <w:rsid w:val="00732383"/>
    <w:rsid w:val="00735EBA"/>
    <w:rsid w:val="007405AD"/>
    <w:rsid w:val="0074228C"/>
    <w:rsid w:val="007909E2"/>
    <w:rsid w:val="00792FC7"/>
    <w:rsid w:val="007A0A29"/>
    <w:rsid w:val="007B4E7E"/>
    <w:rsid w:val="007D023E"/>
    <w:rsid w:val="007D0BEA"/>
    <w:rsid w:val="007D3462"/>
    <w:rsid w:val="007F6F63"/>
    <w:rsid w:val="00801FFB"/>
    <w:rsid w:val="0080579A"/>
    <w:rsid w:val="00812055"/>
    <w:rsid w:val="0081698A"/>
    <w:rsid w:val="008171D4"/>
    <w:rsid w:val="008251F5"/>
    <w:rsid w:val="008265D6"/>
    <w:rsid w:val="0083235D"/>
    <w:rsid w:val="00834179"/>
    <w:rsid w:val="0084602D"/>
    <w:rsid w:val="00852BD5"/>
    <w:rsid w:val="00864110"/>
    <w:rsid w:val="008641E2"/>
    <w:rsid w:val="00872C84"/>
    <w:rsid w:val="008779E4"/>
    <w:rsid w:val="0088002B"/>
    <w:rsid w:val="00882017"/>
    <w:rsid w:val="00887A49"/>
    <w:rsid w:val="0089695A"/>
    <w:rsid w:val="00896DB5"/>
    <w:rsid w:val="008A4FA7"/>
    <w:rsid w:val="008A7AFC"/>
    <w:rsid w:val="008C73F2"/>
    <w:rsid w:val="008E4240"/>
    <w:rsid w:val="008F2FC9"/>
    <w:rsid w:val="00907963"/>
    <w:rsid w:val="00911210"/>
    <w:rsid w:val="0091450D"/>
    <w:rsid w:val="009222D8"/>
    <w:rsid w:val="00927711"/>
    <w:rsid w:val="00931647"/>
    <w:rsid w:val="00936613"/>
    <w:rsid w:val="009444F1"/>
    <w:rsid w:val="00950C64"/>
    <w:rsid w:val="00956995"/>
    <w:rsid w:val="0096078C"/>
    <w:rsid w:val="0096595E"/>
    <w:rsid w:val="009659AB"/>
    <w:rsid w:val="0098082F"/>
    <w:rsid w:val="00993585"/>
    <w:rsid w:val="009A2DC6"/>
    <w:rsid w:val="009A5056"/>
    <w:rsid w:val="009A7275"/>
    <w:rsid w:val="009B0F7B"/>
    <w:rsid w:val="009B7893"/>
    <w:rsid w:val="009C4E8D"/>
    <w:rsid w:val="009D1A91"/>
    <w:rsid w:val="009D20BF"/>
    <w:rsid w:val="009D734E"/>
    <w:rsid w:val="009E5EE5"/>
    <w:rsid w:val="009F02B3"/>
    <w:rsid w:val="009F0F66"/>
    <w:rsid w:val="009F7432"/>
    <w:rsid w:val="00A10BB9"/>
    <w:rsid w:val="00A25FB3"/>
    <w:rsid w:val="00A34A1F"/>
    <w:rsid w:val="00A36618"/>
    <w:rsid w:val="00A37A8D"/>
    <w:rsid w:val="00A40883"/>
    <w:rsid w:val="00A47F67"/>
    <w:rsid w:val="00A503C9"/>
    <w:rsid w:val="00A51AEA"/>
    <w:rsid w:val="00A65710"/>
    <w:rsid w:val="00A65F69"/>
    <w:rsid w:val="00A86680"/>
    <w:rsid w:val="00AB0A25"/>
    <w:rsid w:val="00AC555D"/>
    <w:rsid w:val="00AD2501"/>
    <w:rsid w:val="00AD5F26"/>
    <w:rsid w:val="00AE022D"/>
    <w:rsid w:val="00AF216C"/>
    <w:rsid w:val="00AF7DD9"/>
    <w:rsid w:val="00B04635"/>
    <w:rsid w:val="00B054C0"/>
    <w:rsid w:val="00B17A5C"/>
    <w:rsid w:val="00B30EA8"/>
    <w:rsid w:val="00B33337"/>
    <w:rsid w:val="00B37CB4"/>
    <w:rsid w:val="00B4074F"/>
    <w:rsid w:val="00B4115E"/>
    <w:rsid w:val="00B450BA"/>
    <w:rsid w:val="00B613E4"/>
    <w:rsid w:val="00B64105"/>
    <w:rsid w:val="00B70170"/>
    <w:rsid w:val="00B73578"/>
    <w:rsid w:val="00B77303"/>
    <w:rsid w:val="00B820B0"/>
    <w:rsid w:val="00B8699D"/>
    <w:rsid w:val="00B9771E"/>
    <w:rsid w:val="00BC4AA9"/>
    <w:rsid w:val="00BC6556"/>
    <w:rsid w:val="00BD0F68"/>
    <w:rsid w:val="00BD1BE9"/>
    <w:rsid w:val="00BD2974"/>
    <w:rsid w:val="00BD5993"/>
    <w:rsid w:val="00C07E26"/>
    <w:rsid w:val="00C14519"/>
    <w:rsid w:val="00C149B8"/>
    <w:rsid w:val="00C31759"/>
    <w:rsid w:val="00C33A93"/>
    <w:rsid w:val="00C37027"/>
    <w:rsid w:val="00C51A70"/>
    <w:rsid w:val="00C51D08"/>
    <w:rsid w:val="00C6660E"/>
    <w:rsid w:val="00C70971"/>
    <w:rsid w:val="00C75813"/>
    <w:rsid w:val="00C75C2F"/>
    <w:rsid w:val="00C865D8"/>
    <w:rsid w:val="00C91DBB"/>
    <w:rsid w:val="00CA66DC"/>
    <w:rsid w:val="00CB07AD"/>
    <w:rsid w:val="00CB609F"/>
    <w:rsid w:val="00CB730F"/>
    <w:rsid w:val="00CC0771"/>
    <w:rsid w:val="00CC7632"/>
    <w:rsid w:val="00CD57A1"/>
    <w:rsid w:val="00CD6E63"/>
    <w:rsid w:val="00CD793C"/>
    <w:rsid w:val="00CE4C87"/>
    <w:rsid w:val="00CE5188"/>
    <w:rsid w:val="00CF21B6"/>
    <w:rsid w:val="00D01CD2"/>
    <w:rsid w:val="00D13431"/>
    <w:rsid w:val="00D154D4"/>
    <w:rsid w:val="00D17E6A"/>
    <w:rsid w:val="00D17E7D"/>
    <w:rsid w:val="00D23470"/>
    <w:rsid w:val="00D412BA"/>
    <w:rsid w:val="00D75050"/>
    <w:rsid w:val="00D766C3"/>
    <w:rsid w:val="00D842DF"/>
    <w:rsid w:val="00D94442"/>
    <w:rsid w:val="00DB376D"/>
    <w:rsid w:val="00DC5E03"/>
    <w:rsid w:val="00DD5973"/>
    <w:rsid w:val="00DE1E49"/>
    <w:rsid w:val="00DF2836"/>
    <w:rsid w:val="00E132CA"/>
    <w:rsid w:val="00E14F62"/>
    <w:rsid w:val="00E3336E"/>
    <w:rsid w:val="00E42000"/>
    <w:rsid w:val="00E441D6"/>
    <w:rsid w:val="00E46EB8"/>
    <w:rsid w:val="00E47FB8"/>
    <w:rsid w:val="00E6673F"/>
    <w:rsid w:val="00E872C5"/>
    <w:rsid w:val="00E9153E"/>
    <w:rsid w:val="00E938F6"/>
    <w:rsid w:val="00EA2EFC"/>
    <w:rsid w:val="00EA49B2"/>
    <w:rsid w:val="00EC0D82"/>
    <w:rsid w:val="00EF0BAF"/>
    <w:rsid w:val="00EF474F"/>
    <w:rsid w:val="00EF4AC5"/>
    <w:rsid w:val="00EF633F"/>
    <w:rsid w:val="00EF78AC"/>
    <w:rsid w:val="00EF7A42"/>
    <w:rsid w:val="00F04375"/>
    <w:rsid w:val="00F16981"/>
    <w:rsid w:val="00F367B3"/>
    <w:rsid w:val="00F37CA9"/>
    <w:rsid w:val="00F43573"/>
    <w:rsid w:val="00F43C57"/>
    <w:rsid w:val="00F447A2"/>
    <w:rsid w:val="00F50BDA"/>
    <w:rsid w:val="00F57B0B"/>
    <w:rsid w:val="00F611CC"/>
    <w:rsid w:val="00F81184"/>
    <w:rsid w:val="00F84F51"/>
    <w:rsid w:val="00FA47EF"/>
    <w:rsid w:val="00FB1AD0"/>
    <w:rsid w:val="00FB6622"/>
    <w:rsid w:val="00FC4C9B"/>
    <w:rsid w:val="00FD79E8"/>
    <w:rsid w:val="00FE1554"/>
    <w:rsid w:val="00FE6C82"/>
    <w:rsid w:val="00FF2020"/>
    <w:rsid w:val="00FF537C"/>
    <w:rsid w:val="00FF69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DE0CA"/>
  <w15:chartTrackingRefBased/>
  <w15:docId w15:val="{DFF82518-D738-4BBB-8031-DC961659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1446F5"/>
    <w:pPr>
      <w:spacing w:after="200" w:line="276" w:lineRule="auto"/>
    </w:pPr>
    <w:rPr>
      <w:rFonts w:ascii="Noto Sans" w:hAnsi="Noto Sans"/>
      <w:sz w:val="22"/>
      <w:szCs w:val="22"/>
      <w:lang w:val="en-US"/>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FF537C"/>
    <w:rPr>
      <w:rFonts w:ascii="Noto Sans" w:eastAsia="Times New Roman" w:hAnsi="Noto Sans" w:cs="Times New Roman"/>
      <w:sz w:val="22"/>
      <w:szCs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MetaPro-Norm" w:hAnsi="MetaPro-Norm"/>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MetaPro-Norm" w:hAnsi="MetaPro-Norm"/>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hAnsi="Calibri"/>
      <w:color w:val="70AD47" w:themeColor="accent6"/>
      <w:szCs w:val="18"/>
    </w:rPr>
  </w:style>
  <w:style w:type="paragraph" w:customStyle="1" w:styleId="TableTextbold">
    <w:name w:val="Table Text bold"/>
    <w:basedOn w:val="Normal"/>
    <w:uiPriority w:val="17"/>
    <w:qFormat/>
    <w:rsid w:val="002E1B2E"/>
    <w:pPr>
      <w:spacing w:before="60" w:afterLines="50" w:after="60"/>
    </w:pPr>
    <w:rPr>
      <w:rFonts w:ascii="Calibri" w:hAnsi="Calibri"/>
      <w:b/>
      <w:color w:val="70AD47" w:themeColor="accent6"/>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character" w:styleId="CommentReference">
    <w:name w:val="annotation reference"/>
    <w:basedOn w:val="DefaultParagraphFont"/>
    <w:uiPriority w:val="99"/>
    <w:semiHidden/>
    <w:unhideWhenUsed/>
    <w:rsid w:val="00325C96"/>
    <w:rPr>
      <w:sz w:val="16"/>
      <w:szCs w:val="16"/>
    </w:rPr>
  </w:style>
  <w:style w:type="paragraph" w:styleId="CommentText">
    <w:name w:val="annotation text"/>
    <w:basedOn w:val="Normal"/>
    <w:link w:val="CommentTextChar"/>
    <w:uiPriority w:val="99"/>
    <w:unhideWhenUsed/>
    <w:rsid w:val="00325C96"/>
    <w:pPr>
      <w:spacing w:line="240" w:lineRule="auto"/>
    </w:pPr>
    <w:rPr>
      <w:sz w:val="20"/>
      <w:szCs w:val="20"/>
    </w:rPr>
  </w:style>
  <w:style w:type="character" w:customStyle="1" w:styleId="CommentTextChar">
    <w:name w:val="Comment Text Char"/>
    <w:basedOn w:val="DefaultParagraphFont"/>
    <w:link w:val="CommentText"/>
    <w:uiPriority w:val="99"/>
    <w:rsid w:val="00325C96"/>
    <w:rPr>
      <w:sz w:val="20"/>
      <w:szCs w:val="20"/>
      <w:lang w:val="en-US"/>
    </w:rPr>
  </w:style>
  <w:style w:type="paragraph" w:styleId="CommentSubject">
    <w:name w:val="annotation subject"/>
    <w:basedOn w:val="CommentText"/>
    <w:next w:val="CommentText"/>
    <w:link w:val="CommentSubjectChar"/>
    <w:uiPriority w:val="99"/>
    <w:semiHidden/>
    <w:unhideWhenUsed/>
    <w:rsid w:val="00325C96"/>
    <w:rPr>
      <w:b/>
      <w:bCs/>
    </w:rPr>
  </w:style>
  <w:style w:type="character" w:customStyle="1" w:styleId="CommentSubjectChar">
    <w:name w:val="Comment Subject Char"/>
    <w:basedOn w:val="CommentTextChar"/>
    <w:link w:val="CommentSubject"/>
    <w:uiPriority w:val="99"/>
    <w:semiHidden/>
    <w:rsid w:val="00325C96"/>
    <w:rPr>
      <w:b/>
      <w:bCs/>
      <w:sz w:val="20"/>
      <w:szCs w:val="20"/>
      <w:lang w:val="en-US"/>
    </w:rPr>
  </w:style>
  <w:style w:type="table" w:styleId="PlainTable1">
    <w:name w:val="Plain Table 1"/>
    <w:basedOn w:val="TableNormal"/>
    <w:uiPriority w:val="41"/>
    <w:rsid w:val="00B450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36434D"/>
    <w:rPr>
      <w:sz w:val="22"/>
      <w:szCs w:val="22"/>
      <w:lang w:val="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7909E2"/>
    <w:rPr>
      <w:sz w:val="22"/>
      <w:szCs w:val="22"/>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3-Accent5">
    <w:name w:val="Grid Table 3 Accent 5"/>
    <w:basedOn w:val="TableNormal"/>
    <w:uiPriority w:val="48"/>
    <w:rsid w:val="007909E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61470814">
      <w:bodyDiv w:val="1"/>
      <w:marLeft w:val="0"/>
      <w:marRight w:val="0"/>
      <w:marTop w:val="0"/>
      <w:marBottom w:val="0"/>
      <w:divBdr>
        <w:top w:val="none" w:sz="0" w:space="0" w:color="auto"/>
        <w:left w:val="none" w:sz="0" w:space="0" w:color="auto"/>
        <w:bottom w:val="none" w:sz="0" w:space="0" w:color="auto"/>
        <w:right w:val="none" w:sz="0" w:space="0" w:color="auto"/>
      </w:divBdr>
    </w:div>
    <w:div w:id="18305161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Elliott\AppData\Local\Microsoft\Windows\INetCache\Content.Outlook\Y0SL7FYS\deliverqld-word-template-noto-a4p%20(0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6BC417E613E6489902050FEC6C41D7" ma:contentTypeVersion="16" ma:contentTypeDescription="Create a new document." ma:contentTypeScope="" ma:versionID="16bf8d701c3b708f8332a283ad9b1623">
  <xsd:schema xmlns:xsd="http://www.w3.org/2001/XMLSchema" xmlns:xs="http://www.w3.org/2001/XMLSchema" xmlns:p="http://schemas.microsoft.com/office/2006/metadata/properties" xmlns:ns2="85201a09-9c36-48eb-beaa-ddc8781c7165" xmlns:ns3="91a68a42-6060-4a8a-8388-874fb934d63e" targetNamespace="http://schemas.microsoft.com/office/2006/metadata/properties" ma:root="true" ma:fieldsID="94ef62f68f53dc395dfe56a6d08a883d" ns2:_="" ns3:_="">
    <xsd:import namespace="85201a09-9c36-48eb-beaa-ddc8781c7165"/>
    <xsd:import namespace="91a68a42-6060-4a8a-8388-874fb934d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01a09-9c36-48eb-beaa-ddc8781c7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7e143e-f671-4e9b-91fb-41d87af1a9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68a42-6060-4a8a-8388-874fb934d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816edf3-1c83-499f-9f17-4f9068e9764e}" ma:internalName="TaxCatchAll" ma:showField="CatchAllData" ma:web="91a68a42-6060-4a8a-8388-874fb934d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a68a42-6060-4a8a-8388-874fb934d63e"/>
    <lcf76f155ced4ddcb4097134ff3c332f xmlns="85201a09-9c36-48eb-beaa-ddc8781c71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34D9812-110D-4725-8834-D25B6295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01a09-9c36-48eb-beaa-ddc8781c7165"/>
    <ds:schemaRef ds:uri="91a68a42-6060-4a8a-8388-874fb934d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openxmlformats.org/package/2006/metadata/core-properties"/>
    <ds:schemaRef ds:uri="http://purl.org/dc/terms/"/>
    <ds:schemaRef ds:uri="91a68a42-6060-4a8a-8388-874fb934d63e"/>
    <ds:schemaRef ds:uri="http://purl.org/dc/elements/1.1/"/>
    <ds:schemaRef ds:uri="http://schemas.microsoft.com/office/infopath/2007/PartnerControls"/>
    <ds:schemaRef ds:uri="http://purl.org/dc/dcmitype/"/>
    <ds:schemaRef ds:uri="http://schemas.microsoft.com/office/2006/documentManagement/types"/>
    <ds:schemaRef ds:uri="85201a09-9c36-48eb-beaa-ddc8781c716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deliverqld-word-template-noto-a4p (002)</Template>
  <TotalTime>0</TotalTime>
  <Pages>4</Pages>
  <Words>659</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Elliott</dc:creator>
  <cp:keywords/>
  <dc:description/>
  <cp:lastModifiedBy>Fiona Bowden</cp:lastModifiedBy>
  <cp:revision>5</cp:revision>
  <cp:lastPrinted>2025-08-07T05:04:00Z</cp:lastPrinted>
  <dcterms:created xsi:type="dcterms:W3CDTF">2025-10-20T04:10:00Z</dcterms:created>
  <dcterms:modified xsi:type="dcterms:W3CDTF">2025-10-20T23:19:00Z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0x010100536BC417E613E6489902050FEC6C41D7</vt:lpwstr>
  </property>
  <property fmtid="{D5CDD505-2E9C-101B-9397-08002B2CF9AE}" pid="3" name="_dlc_DocIdItemGuid">
    <vt:lpwstr>f69908d3-a933-4bd6-8b4a-e061db0b5259</vt:lpwstr>
  </property>
  <property fmtid="{D5CDD505-2E9C-101B-9397-08002B2CF9AE}" pid="4" name="MediaServiceImageTags">
    <vt:lpwstr/>
  </property>
  <property fmtid="{D5CDD505-2E9C-101B-9397-08002B2CF9AE}" pid="5" name="GrammarlyDocumentId">
    <vt:lpwstr>06c0a7fd-ceb2-4b09-a5b2-c6d839d6a345</vt:lpwstr>
  </property>
</Properties>
</file>