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0422" w14:textId="270E12B7" w:rsidR="00612C7F" w:rsidRDefault="00612C7F" w:rsidP="00612C7F">
      <w:pPr>
        <w:pStyle w:val="Heading1"/>
      </w:pPr>
      <w:r>
        <w:t>Residential Activation Fund – Round 2</w:t>
      </w:r>
    </w:p>
    <w:p w14:paraId="2032CA04" w14:textId="60603AA8" w:rsidR="008A7AFC" w:rsidRDefault="00612C7F" w:rsidP="00612C7F">
      <w:pPr>
        <w:pStyle w:val="Heading3"/>
      </w:pPr>
      <w:r>
        <w:t>Risk identification and mitigation – Guide and optional template</w:t>
      </w:r>
    </w:p>
    <w:tbl>
      <w:tblPr>
        <w:tblW w:w="5052" w:type="pct"/>
        <w:shd w:val="clear" w:color="auto" w:fill="B1D5FB" w:themeFill="text2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9870"/>
      </w:tblGrid>
      <w:tr w:rsidR="00612C7F" w:rsidRPr="00612C7F" w14:paraId="0E670A4A" w14:textId="77777777" w:rsidTr="000565B7">
        <w:trPr>
          <w:trHeight w:val="612"/>
          <w:tblHeader/>
        </w:trPr>
        <w:tc>
          <w:tcPr>
            <w:tcW w:w="709" w:type="dxa"/>
            <w:shd w:val="clear" w:color="auto" w:fill="05325F" w:themeFill="text2"/>
            <w:vAlign w:val="center"/>
          </w:tcPr>
          <w:p w14:paraId="5EAD8039" w14:textId="77777777" w:rsidR="00612C7F" w:rsidRPr="00612C7F" w:rsidRDefault="00612C7F" w:rsidP="000565B7">
            <w:pPr>
              <w:suppressAutoHyphens/>
              <w:spacing w:after="0" w:line="276" w:lineRule="auto"/>
              <w:rPr>
                <w:rFonts w:cs="Noto Sans"/>
              </w:rPr>
            </w:pPr>
            <w:r w:rsidRPr="00612C7F">
              <w:rPr>
                <w:rFonts w:cs="Noto Sans"/>
                <w:noProof/>
              </w:rPr>
              <w:drawing>
                <wp:inline distT="0" distB="0" distL="0" distR="0" wp14:anchorId="7BE31827" wp14:editId="52227AF1">
                  <wp:extent cx="277200" cy="277200"/>
                  <wp:effectExtent l="0" t="0" r="8890" b="8890"/>
                  <wp:docPr id="96462400" name="Graphic 3" descr="Inform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389349" name="Graphic 1921389349" descr="Informatio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5" w:type="dxa"/>
            <w:shd w:val="clear" w:color="auto" w:fill="05325F" w:themeFill="text2"/>
            <w:vAlign w:val="center"/>
          </w:tcPr>
          <w:p w14:paraId="411CF16F" w14:textId="77777777" w:rsidR="00612C7F" w:rsidRPr="00612C7F" w:rsidRDefault="00612C7F" w:rsidP="000565B7">
            <w:pPr>
              <w:suppressAutoHyphens/>
              <w:spacing w:after="0" w:line="276" w:lineRule="auto"/>
              <w:rPr>
                <w:rFonts w:cs="Noto Sans"/>
                <w:b/>
                <w:bCs/>
                <w:sz w:val="24"/>
              </w:rPr>
            </w:pPr>
            <w:r w:rsidRPr="00612C7F">
              <w:rPr>
                <w:rFonts w:cs="Noto Sans"/>
                <w:b/>
                <w:bCs/>
                <w:color w:val="FFFFFF" w:themeColor="background1"/>
                <w:sz w:val="24"/>
              </w:rPr>
              <w:t>Guidance</w:t>
            </w:r>
          </w:p>
        </w:tc>
      </w:tr>
      <w:tr w:rsidR="00612C7F" w:rsidRPr="00612C7F" w14:paraId="5906FB49" w14:textId="77777777" w:rsidTr="000565B7">
        <w:trPr>
          <w:trHeight w:val="284"/>
        </w:trPr>
        <w:tc>
          <w:tcPr>
            <w:tcW w:w="10304" w:type="dxa"/>
            <w:gridSpan w:val="2"/>
            <w:shd w:val="clear" w:color="auto" w:fill="BDDEFF" w:themeFill="text1" w:themeFillTint="33"/>
          </w:tcPr>
          <w:p w14:paraId="22027FFE" w14:textId="77777777" w:rsidR="00612C7F" w:rsidRPr="00612C7F" w:rsidRDefault="00612C7F" w:rsidP="00612C7F">
            <w:pPr>
              <w:pStyle w:val="Breakouttext"/>
              <w:keepLines/>
              <w:numPr>
                <w:ilvl w:val="0"/>
                <w:numId w:val="9"/>
              </w:numPr>
              <w:suppressAutoHyphens/>
              <w:spacing w:before="100" w:beforeAutospacing="1" w:line="276" w:lineRule="auto"/>
              <w:ind w:left="357" w:hanging="357"/>
              <w:rPr>
                <w:rFonts w:ascii="Noto Sans" w:hAnsi="Noto Sans" w:cs="Noto Sans"/>
                <w:color w:val="auto"/>
                <w:szCs w:val="20"/>
              </w:rPr>
            </w:pP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Applicants must submit with your application a risk identification and mitigation strategy addressing all risks linked to the Project. </w:t>
            </w:r>
          </w:p>
          <w:p w14:paraId="54F4F536" w14:textId="77777777" w:rsidR="00612C7F" w:rsidRPr="00612C7F" w:rsidRDefault="00612C7F" w:rsidP="00612C7F">
            <w:pPr>
              <w:pStyle w:val="ListParagraph"/>
              <w:numPr>
                <w:ilvl w:val="0"/>
                <w:numId w:val="9"/>
              </w:numPr>
              <w:tabs>
                <w:tab w:val="clear" w:pos="2835"/>
              </w:tabs>
              <w:spacing w:before="120"/>
              <w:contextualSpacing/>
              <w:rPr>
                <w:rFonts w:eastAsiaTheme="minorHAnsi" w:cs="Noto Sans"/>
                <w:szCs w:val="20"/>
              </w:rPr>
            </w:pPr>
            <w:r w:rsidRPr="00612C7F">
              <w:rPr>
                <w:rFonts w:eastAsiaTheme="minorHAnsi" w:cs="Noto Sans"/>
                <w:szCs w:val="20"/>
              </w:rPr>
              <w:t>The template at Table 1 (see next page) may be used, or you can provide a Risk identification and mitigation strategy in your own template if it provides a similar level of detail. Inadequate detail may affect the outcome of assessment of your Project.</w:t>
            </w:r>
          </w:p>
          <w:p w14:paraId="546FEC76" w14:textId="2BA45F67" w:rsidR="00612C7F" w:rsidRPr="00612C7F" w:rsidRDefault="00612C7F" w:rsidP="00612C7F">
            <w:pPr>
              <w:pStyle w:val="Breakouttext"/>
              <w:keepLines/>
              <w:numPr>
                <w:ilvl w:val="0"/>
                <w:numId w:val="9"/>
              </w:numPr>
              <w:suppressAutoHyphens/>
              <w:spacing w:before="100" w:beforeAutospacing="1" w:line="276" w:lineRule="auto"/>
              <w:ind w:left="357" w:hanging="357"/>
              <w:rPr>
                <w:rFonts w:ascii="Noto Sans" w:hAnsi="Noto Sans" w:cs="Noto Sans"/>
                <w:color w:val="auto"/>
                <w:szCs w:val="20"/>
              </w:rPr>
            </w:pP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Risks include major factors which could significantly influence the timing, cost or scope of the Project and associated work. Applicants must specify in </w:t>
            </w:r>
            <w:r w:rsidRPr="00612C7F">
              <w:rPr>
                <w:rFonts w:ascii="Noto Sans" w:hAnsi="Noto Sans" w:cs="Noto Sans"/>
                <w:b/>
                <w:bCs/>
                <w:color w:val="auto"/>
                <w:szCs w:val="20"/>
              </w:rPr>
              <w:t>Table 1</w:t>
            </w: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 the likelihood of those risks occurring and ensure that adequate and suitable risk mitigation strategies are in place. Risks must be identified in line with the risk </w:t>
            </w:r>
            <w:r w:rsidR="00692330" w:rsidRPr="00692330">
              <w:rPr>
                <w:rFonts w:ascii="Noto Sans" w:hAnsi="Noto Sans" w:cs="Noto Sans"/>
                <w:color w:val="auto"/>
                <w:szCs w:val="20"/>
              </w:rPr>
              <w:t xml:space="preserve">likelihood and consequence </w:t>
            </w: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matrix in </w:t>
            </w:r>
            <w:r w:rsidRPr="00612C7F">
              <w:rPr>
                <w:rFonts w:ascii="Noto Sans" w:hAnsi="Noto Sans" w:cs="Noto Sans"/>
                <w:b/>
                <w:bCs/>
                <w:color w:val="auto"/>
                <w:szCs w:val="20"/>
              </w:rPr>
              <w:t>Table 2</w:t>
            </w:r>
            <w:r w:rsidRPr="00612C7F">
              <w:rPr>
                <w:rFonts w:ascii="Noto Sans" w:hAnsi="Noto Sans" w:cs="Noto Sans"/>
                <w:color w:val="auto"/>
                <w:szCs w:val="20"/>
              </w:rPr>
              <w:t>.</w:t>
            </w:r>
          </w:p>
          <w:p w14:paraId="64CF4E85" w14:textId="77777777" w:rsidR="00612C7F" w:rsidRPr="00612C7F" w:rsidRDefault="00612C7F" w:rsidP="00612C7F">
            <w:pPr>
              <w:pStyle w:val="Breakouttext"/>
              <w:keepLines/>
              <w:numPr>
                <w:ilvl w:val="0"/>
                <w:numId w:val="9"/>
              </w:numPr>
              <w:suppressAutoHyphens/>
              <w:spacing w:before="100" w:beforeAutospacing="1" w:line="276" w:lineRule="auto"/>
              <w:ind w:left="357" w:hanging="357"/>
              <w:rPr>
                <w:rFonts w:ascii="Noto Sans" w:hAnsi="Noto Sans" w:cs="Noto Sans"/>
                <w:color w:val="auto"/>
                <w:szCs w:val="20"/>
              </w:rPr>
            </w:pP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If additional details are required to better explain any identified risk, please include the information after </w:t>
            </w:r>
            <w:r w:rsidRPr="00612C7F">
              <w:rPr>
                <w:rFonts w:ascii="Noto Sans" w:hAnsi="Noto Sans" w:cs="Noto Sans"/>
                <w:b/>
                <w:bCs/>
                <w:color w:val="auto"/>
                <w:szCs w:val="20"/>
              </w:rPr>
              <w:t>Table 1</w:t>
            </w:r>
            <w:r w:rsidRPr="00612C7F">
              <w:rPr>
                <w:rFonts w:ascii="Noto Sans" w:hAnsi="Noto Sans" w:cs="Noto Sans"/>
                <w:color w:val="auto"/>
                <w:szCs w:val="20"/>
              </w:rPr>
              <w:t xml:space="preserve"> below.  </w:t>
            </w:r>
          </w:p>
          <w:p w14:paraId="0004347D" w14:textId="77777777" w:rsidR="00612C7F" w:rsidRPr="00612C7F" w:rsidRDefault="00612C7F" w:rsidP="00612C7F">
            <w:pPr>
              <w:pStyle w:val="Breakouttext"/>
              <w:keepLines/>
              <w:numPr>
                <w:ilvl w:val="0"/>
                <w:numId w:val="9"/>
              </w:numPr>
              <w:suppressAutoHyphens/>
              <w:spacing w:before="100" w:beforeAutospacing="1" w:line="276" w:lineRule="auto"/>
              <w:ind w:left="357" w:hanging="357"/>
              <w:rPr>
                <w:rFonts w:ascii="Noto Sans" w:hAnsi="Noto Sans" w:cs="Noto Sans"/>
                <w:color w:val="auto"/>
                <w:szCs w:val="20"/>
              </w:rPr>
            </w:pPr>
            <w:r w:rsidRPr="00612C7F">
              <w:rPr>
                <w:rFonts w:ascii="Noto Sans" w:hAnsi="Noto Sans" w:cs="Noto Sans"/>
                <w:color w:val="auto"/>
                <w:szCs w:val="20"/>
              </w:rPr>
              <w:t>Examples of risks include:</w:t>
            </w:r>
          </w:p>
          <w:tbl>
            <w:tblPr>
              <w:tblStyle w:val="TableGrid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6"/>
              <w:gridCol w:w="3853"/>
              <w:gridCol w:w="3316"/>
            </w:tblGrid>
            <w:tr w:rsidR="00612C7F" w:rsidRPr="00612C7F" w14:paraId="1E218164" w14:textId="77777777" w:rsidTr="000565B7">
              <w:tc>
                <w:tcPr>
                  <w:tcW w:w="2835" w:type="dxa"/>
                </w:tcPr>
                <w:p w14:paraId="3C5E4FAA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planning assumptions</w:t>
                  </w:r>
                </w:p>
              </w:tc>
              <w:tc>
                <w:tcPr>
                  <w:tcW w:w="3294" w:type="dxa"/>
                </w:tcPr>
                <w:p w14:paraId="092305B4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costs</w:t>
                  </w:r>
                </w:p>
              </w:tc>
              <w:tc>
                <w:tcPr>
                  <w:tcW w:w="2835" w:type="dxa"/>
                </w:tcPr>
                <w:p w14:paraId="1F9E7CAB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cultural heritage</w:t>
                  </w:r>
                </w:p>
              </w:tc>
            </w:tr>
            <w:tr w:rsidR="00612C7F" w:rsidRPr="00612C7F" w14:paraId="6C055506" w14:textId="77777777" w:rsidTr="000565B7">
              <w:tc>
                <w:tcPr>
                  <w:tcW w:w="2835" w:type="dxa"/>
                </w:tcPr>
                <w:p w14:paraId="066DA7EF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Native Title</w:t>
                  </w:r>
                </w:p>
              </w:tc>
              <w:tc>
                <w:tcPr>
                  <w:tcW w:w="3294" w:type="dxa"/>
                </w:tcPr>
                <w:p w14:paraId="37D01DB1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resumption of land</w:t>
                  </w:r>
                </w:p>
              </w:tc>
              <w:tc>
                <w:tcPr>
                  <w:tcW w:w="2835" w:type="dxa"/>
                </w:tcPr>
                <w:p w14:paraId="460FED09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public consultation</w:t>
                  </w:r>
                </w:p>
              </w:tc>
            </w:tr>
            <w:tr w:rsidR="00612C7F" w:rsidRPr="00612C7F" w14:paraId="26D13C5C" w14:textId="77777777" w:rsidTr="000565B7">
              <w:tc>
                <w:tcPr>
                  <w:tcW w:w="2835" w:type="dxa"/>
                </w:tcPr>
                <w:p w14:paraId="239BB075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geotechnical / soil test</w:t>
                  </w:r>
                </w:p>
              </w:tc>
              <w:tc>
                <w:tcPr>
                  <w:tcW w:w="3294" w:type="dxa"/>
                </w:tcPr>
                <w:p w14:paraId="26CD33ED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environmental management</w:t>
                  </w:r>
                </w:p>
              </w:tc>
              <w:tc>
                <w:tcPr>
                  <w:tcW w:w="2835" w:type="dxa"/>
                </w:tcPr>
                <w:p w14:paraId="294DC026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flooding</w:t>
                  </w:r>
                </w:p>
              </w:tc>
            </w:tr>
            <w:tr w:rsidR="00612C7F" w:rsidRPr="00612C7F" w14:paraId="7D96D420" w14:textId="77777777" w:rsidTr="000565B7">
              <w:tc>
                <w:tcPr>
                  <w:tcW w:w="2835" w:type="dxa"/>
                </w:tcPr>
                <w:p w14:paraId="440564FF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quality standards</w:t>
                  </w:r>
                </w:p>
              </w:tc>
              <w:tc>
                <w:tcPr>
                  <w:tcW w:w="3294" w:type="dxa"/>
                </w:tcPr>
                <w:p w14:paraId="1E0060BB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political</w:t>
                  </w:r>
                </w:p>
              </w:tc>
              <w:tc>
                <w:tcPr>
                  <w:tcW w:w="2835" w:type="dxa"/>
                </w:tcPr>
                <w:p w14:paraId="0F8BB476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design risks</w:t>
                  </w:r>
                </w:p>
              </w:tc>
            </w:tr>
            <w:tr w:rsidR="00612C7F" w:rsidRPr="00612C7F" w14:paraId="29614438" w14:textId="77777777" w:rsidTr="000565B7">
              <w:tc>
                <w:tcPr>
                  <w:tcW w:w="2835" w:type="dxa"/>
                </w:tcPr>
                <w:p w14:paraId="1E54D7D9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constructability</w:t>
                  </w:r>
                </w:p>
              </w:tc>
              <w:tc>
                <w:tcPr>
                  <w:tcW w:w="3294" w:type="dxa"/>
                </w:tcPr>
                <w:p w14:paraId="37E95C00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traffic management</w:t>
                  </w:r>
                </w:p>
              </w:tc>
              <w:tc>
                <w:tcPr>
                  <w:tcW w:w="2835" w:type="dxa"/>
                </w:tcPr>
                <w:p w14:paraId="0E7B405F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Project funding</w:t>
                  </w:r>
                </w:p>
              </w:tc>
            </w:tr>
            <w:tr w:rsidR="00612C7F" w:rsidRPr="00612C7F" w14:paraId="4263BF0B" w14:textId="77777777" w:rsidTr="000565B7">
              <w:tc>
                <w:tcPr>
                  <w:tcW w:w="2835" w:type="dxa"/>
                </w:tcPr>
                <w:p w14:paraId="1382EBAB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0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utility services</w:t>
                  </w:r>
                </w:p>
              </w:tc>
              <w:tc>
                <w:tcPr>
                  <w:tcW w:w="3294" w:type="dxa"/>
                </w:tcPr>
                <w:p w14:paraId="2097B200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workforce considerations</w:t>
                  </w:r>
                </w:p>
              </w:tc>
              <w:tc>
                <w:tcPr>
                  <w:tcW w:w="2835" w:type="dxa"/>
                </w:tcPr>
                <w:p w14:paraId="76946A49" w14:textId="77777777" w:rsidR="00612C7F" w:rsidRPr="00612C7F" w:rsidRDefault="00612C7F" w:rsidP="00612C7F">
                  <w:pPr>
                    <w:keepLines/>
                    <w:numPr>
                      <w:ilvl w:val="0"/>
                      <w:numId w:val="11"/>
                    </w:numPr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  <w:r w:rsidRPr="00612C7F">
                    <w:rPr>
                      <w:rFonts w:cs="Noto Sans"/>
                    </w:rPr>
                    <w:t>safety.</w:t>
                  </w:r>
                </w:p>
                <w:p w14:paraId="36BE6CE1" w14:textId="77777777" w:rsidR="00612C7F" w:rsidRPr="00612C7F" w:rsidRDefault="00612C7F" w:rsidP="000565B7">
                  <w:pPr>
                    <w:keepLines/>
                    <w:suppressAutoHyphens/>
                    <w:spacing w:before="100" w:beforeAutospacing="1" w:after="100" w:afterAutospacing="1" w:line="276" w:lineRule="auto"/>
                    <w:contextualSpacing/>
                    <w:rPr>
                      <w:rFonts w:cs="Noto Sans"/>
                    </w:rPr>
                  </w:pPr>
                </w:p>
              </w:tc>
            </w:tr>
          </w:tbl>
          <w:p w14:paraId="07A4D188" w14:textId="77777777" w:rsidR="00612C7F" w:rsidRPr="00612C7F" w:rsidRDefault="00612C7F" w:rsidP="000565B7">
            <w:pPr>
              <w:suppressAutoHyphens/>
              <w:spacing w:after="0" w:line="276" w:lineRule="auto"/>
              <w:rPr>
                <w:rFonts w:cs="Noto Sans"/>
                <w:b/>
                <w:bCs/>
                <w:i/>
                <w:iCs/>
              </w:rPr>
            </w:pPr>
            <w:r w:rsidRPr="00612C7F">
              <w:rPr>
                <w:rFonts w:cs="Noto Sans"/>
                <w:b/>
                <w:bCs/>
                <w:i/>
                <w:iCs/>
                <w:szCs w:val="20"/>
              </w:rPr>
              <w:t>NOTE: This guidance box can be deleted prior to submitting your application.</w:t>
            </w:r>
          </w:p>
        </w:tc>
      </w:tr>
    </w:tbl>
    <w:p w14:paraId="7A33772A" w14:textId="038D4C1C" w:rsidR="00612C7F" w:rsidRDefault="00612C7F" w:rsidP="00612C7F"/>
    <w:p w14:paraId="17190A33" w14:textId="36A911AE" w:rsidR="00612C7F" w:rsidRDefault="00612C7F">
      <w:pPr>
        <w:spacing w:after="0"/>
      </w:pPr>
      <w:r>
        <w:br w:type="page"/>
      </w:r>
    </w:p>
    <w:p w14:paraId="2BBD4A1C" w14:textId="77777777" w:rsidR="00612C7F" w:rsidRPr="00612C7F" w:rsidRDefault="00612C7F" w:rsidP="00612C7F">
      <w:pPr>
        <w:pStyle w:val="Heading3"/>
        <w:rPr>
          <w:rFonts w:cs="Noto Sans"/>
        </w:rPr>
      </w:pPr>
      <w:r w:rsidRPr="00612C7F">
        <w:rPr>
          <w:rFonts w:cs="Noto Sans"/>
        </w:rPr>
        <w:lastRenderedPageBreak/>
        <w:t>[Insert Project Name] – [Insert Applicant]</w:t>
      </w:r>
    </w:p>
    <w:p w14:paraId="17D0E5B2" w14:textId="77777777" w:rsidR="00612C7F" w:rsidRPr="00612C7F" w:rsidRDefault="00612C7F" w:rsidP="00612C7F">
      <w:pPr>
        <w:spacing w:before="240"/>
        <w:rPr>
          <w:rFonts w:cs="Noto Sans"/>
          <w:b/>
          <w:bCs/>
        </w:rPr>
      </w:pPr>
      <w:r w:rsidRPr="00612C7F">
        <w:rPr>
          <w:rFonts w:cs="Noto Sans"/>
          <w:b/>
          <w:bCs/>
        </w:rPr>
        <w:t>Table 1: Risk identification and mitigation strategy</w:t>
      </w:r>
    </w:p>
    <w:tbl>
      <w:tblPr>
        <w:tblStyle w:val="TableGrid"/>
        <w:tblW w:w="4936" w:type="pct"/>
        <w:tblInd w:w="-5" w:type="dxa"/>
        <w:tblBorders>
          <w:top w:val="single" w:sz="4" w:space="0" w:color="263746"/>
          <w:left w:val="single" w:sz="4" w:space="0" w:color="263746"/>
          <w:bottom w:val="single" w:sz="4" w:space="0" w:color="263746"/>
          <w:right w:val="single" w:sz="4" w:space="0" w:color="263746"/>
          <w:insideH w:val="single" w:sz="4" w:space="0" w:color="263746"/>
          <w:insideV w:val="single" w:sz="4" w:space="0" w:color="263746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1020"/>
        <w:gridCol w:w="1020"/>
        <w:gridCol w:w="1072"/>
        <w:gridCol w:w="2864"/>
        <w:gridCol w:w="1165"/>
      </w:tblGrid>
      <w:tr w:rsidR="00612C7F" w:rsidRPr="00612C7F" w14:paraId="7EE3C85F" w14:textId="77777777" w:rsidTr="000565B7">
        <w:trPr>
          <w:tblHeader/>
        </w:trPr>
        <w:tc>
          <w:tcPr>
            <w:tcW w:w="1549" w:type="pct"/>
            <w:shd w:val="clear" w:color="auto" w:fill="05325F" w:themeFill="text2"/>
            <w:vAlign w:val="center"/>
          </w:tcPr>
          <w:p w14:paraId="5B35816E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Risk</w:t>
            </w:r>
          </w:p>
        </w:tc>
        <w:tc>
          <w:tcPr>
            <w:tcW w:w="493" w:type="pct"/>
            <w:shd w:val="clear" w:color="auto" w:fill="05325F" w:themeFill="text2"/>
            <w:vAlign w:val="center"/>
          </w:tcPr>
          <w:p w14:paraId="2EB33AAB" w14:textId="77777777" w:rsidR="00612C7F" w:rsidRPr="00612C7F" w:rsidRDefault="00612C7F" w:rsidP="000565B7">
            <w:pPr>
              <w:spacing w:before="60" w:after="60" w:line="278" w:lineRule="auto"/>
              <w:jc w:val="center"/>
              <w:rPr>
                <w:rFonts w:eastAsia="Aptos" w:cs="Noto Sans"/>
                <w:b/>
                <w:bCs/>
                <w:color w:val="FFFFFF"/>
                <w:kern w:val="2"/>
                <w:sz w:val="18"/>
                <w:szCs w:val="18"/>
                <w14:ligatures w14:val="standardContextual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 xml:space="preserve">Risk </w:t>
            </w:r>
            <w:proofErr w:type="spellStart"/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Likeli</w:t>
            </w:r>
            <w:proofErr w:type="spellEnd"/>
            <w:r w:rsidRPr="00612C7F">
              <w:rPr>
                <w:rFonts w:eastAsia="Aptos" w:cs="Noto Sans"/>
                <w:b/>
                <w:bCs/>
                <w:color w:val="FFFFFF"/>
                <w:kern w:val="2"/>
                <w:sz w:val="18"/>
                <w:szCs w:val="18"/>
                <w14:ligatures w14:val="standardContextual"/>
              </w:rPr>
              <w:t>-</w:t>
            </w:r>
          </w:p>
          <w:p w14:paraId="2CDE8691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hood</w:t>
            </w:r>
          </w:p>
        </w:tc>
        <w:tc>
          <w:tcPr>
            <w:tcW w:w="493" w:type="pct"/>
            <w:shd w:val="clear" w:color="auto" w:fill="05325F" w:themeFill="text2"/>
            <w:vAlign w:val="center"/>
          </w:tcPr>
          <w:p w14:paraId="6FDD3759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 xml:space="preserve">Risk </w:t>
            </w:r>
            <w:proofErr w:type="spellStart"/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Conse-quence</w:t>
            </w:r>
            <w:proofErr w:type="spellEnd"/>
          </w:p>
        </w:tc>
        <w:tc>
          <w:tcPr>
            <w:tcW w:w="518" w:type="pct"/>
            <w:shd w:val="clear" w:color="auto" w:fill="05325F" w:themeFill="text2"/>
            <w:vAlign w:val="center"/>
          </w:tcPr>
          <w:p w14:paraId="14A146E6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Risk Rating</w:t>
            </w:r>
          </w:p>
        </w:tc>
        <w:tc>
          <w:tcPr>
            <w:tcW w:w="1384" w:type="pct"/>
            <w:shd w:val="clear" w:color="auto" w:fill="05325F" w:themeFill="text2"/>
            <w:vAlign w:val="center"/>
          </w:tcPr>
          <w:p w14:paraId="0A2998E2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Mitigation strategy</w:t>
            </w:r>
          </w:p>
        </w:tc>
        <w:tc>
          <w:tcPr>
            <w:tcW w:w="563" w:type="pct"/>
            <w:shd w:val="clear" w:color="auto" w:fill="05325F" w:themeFill="text2"/>
            <w:vAlign w:val="center"/>
          </w:tcPr>
          <w:p w14:paraId="78DAD9D5" w14:textId="77777777" w:rsidR="00612C7F" w:rsidRPr="00612C7F" w:rsidRDefault="00612C7F" w:rsidP="000565B7">
            <w:pPr>
              <w:spacing w:before="60" w:after="60"/>
              <w:jc w:val="center"/>
              <w:rPr>
                <w:rFonts w:cs="Noto Sans"/>
                <w:b/>
                <w:bCs/>
                <w:color w:val="FFFFFF"/>
                <w:sz w:val="18"/>
                <w:szCs w:val="18"/>
              </w:rPr>
            </w:pPr>
            <w:r w:rsidRPr="00612C7F">
              <w:rPr>
                <w:rFonts w:cs="Noto Sans"/>
                <w:b/>
                <w:bCs/>
                <w:color w:val="FFFFFF"/>
                <w:sz w:val="18"/>
                <w:szCs w:val="18"/>
              </w:rPr>
              <w:t>Adjusted Risk Rating</w:t>
            </w:r>
          </w:p>
        </w:tc>
      </w:tr>
      <w:tr w:rsidR="00612C7F" w:rsidRPr="00612C7F" w14:paraId="61858E8C" w14:textId="77777777" w:rsidTr="00612C7F">
        <w:tc>
          <w:tcPr>
            <w:tcW w:w="1549" w:type="pct"/>
            <w:shd w:val="clear" w:color="auto" w:fill="BDDEFF" w:themeFill="text1" w:themeFillTint="33"/>
          </w:tcPr>
          <w:p w14:paraId="038AD86E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bookmarkStart w:id="0" w:name="_Hlk193978389"/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Example – Costs exceed the Applicant's funding capacity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009DA771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sz w:val="18"/>
                <w:szCs w:val="18"/>
              </w:rPr>
              <w:t>Likely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3B2D455C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Minor</w:t>
            </w:r>
          </w:p>
        </w:tc>
        <w:tc>
          <w:tcPr>
            <w:tcW w:w="518" w:type="pct"/>
            <w:shd w:val="clear" w:color="auto" w:fill="FFFF66"/>
          </w:tcPr>
          <w:p w14:paraId="52CAB3D0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10</w:t>
            </w:r>
          </w:p>
          <w:p w14:paraId="45610C40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Medium</w:t>
            </w:r>
          </w:p>
        </w:tc>
        <w:tc>
          <w:tcPr>
            <w:tcW w:w="1384" w:type="pct"/>
            <w:shd w:val="clear" w:color="auto" w:fill="BDDEFF" w:themeFill="text1" w:themeFillTint="33"/>
          </w:tcPr>
          <w:p w14:paraId="371FDD59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Contracts will include clauses regarding cost escalation and associated penalties</w:t>
            </w:r>
          </w:p>
          <w:p w14:paraId="5C7B80F6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Contingency included in the budget to accommodate minor deviations in construction costs</w:t>
            </w:r>
          </w:p>
        </w:tc>
        <w:tc>
          <w:tcPr>
            <w:tcW w:w="563" w:type="pct"/>
            <w:shd w:val="clear" w:color="auto" w:fill="92D050"/>
          </w:tcPr>
          <w:p w14:paraId="090F5136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3</w:t>
            </w:r>
          </w:p>
          <w:p w14:paraId="2BAB310D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Low</w:t>
            </w:r>
          </w:p>
        </w:tc>
      </w:tr>
      <w:bookmarkEnd w:id="0"/>
      <w:tr w:rsidR="00612C7F" w:rsidRPr="00612C7F" w14:paraId="4836DAFF" w14:textId="77777777" w:rsidTr="00612C7F">
        <w:tc>
          <w:tcPr>
            <w:tcW w:w="1549" w:type="pct"/>
            <w:shd w:val="clear" w:color="auto" w:fill="BDDEFF" w:themeFill="text1" w:themeFillTint="33"/>
          </w:tcPr>
          <w:p w14:paraId="5BBA6DFE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Example – Capability to deliver within Project timeframes / construction delays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1A1AA103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Possible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0A9FAD9C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Possible</w:t>
            </w:r>
          </w:p>
        </w:tc>
        <w:tc>
          <w:tcPr>
            <w:tcW w:w="518" w:type="pct"/>
            <w:shd w:val="clear" w:color="auto" w:fill="FFFF66"/>
          </w:tcPr>
          <w:p w14:paraId="2AD3F205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13</w:t>
            </w:r>
          </w:p>
          <w:p w14:paraId="1FF8741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Medium</w:t>
            </w:r>
          </w:p>
        </w:tc>
        <w:tc>
          <w:tcPr>
            <w:tcW w:w="1384" w:type="pct"/>
            <w:shd w:val="clear" w:color="auto" w:fill="BDDEFF" w:themeFill="text1" w:themeFillTint="33"/>
          </w:tcPr>
          <w:p w14:paraId="1989B09B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Contract will include Project timeframes</w:t>
            </w:r>
          </w:p>
          <w:p w14:paraId="5248EA85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Penalty rates will apply if the contractor fails to meet obligated timeframes</w:t>
            </w:r>
          </w:p>
        </w:tc>
        <w:tc>
          <w:tcPr>
            <w:tcW w:w="563" w:type="pct"/>
            <w:shd w:val="clear" w:color="auto" w:fill="92D050"/>
          </w:tcPr>
          <w:p w14:paraId="5259E3B5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5</w:t>
            </w:r>
          </w:p>
          <w:p w14:paraId="5D81661A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Low</w:t>
            </w:r>
          </w:p>
        </w:tc>
      </w:tr>
      <w:tr w:rsidR="00612C7F" w:rsidRPr="00612C7F" w14:paraId="26C61453" w14:textId="77777777" w:rsidTr="00612C7F">
        <w:tc>
          <w:tcPr>
            <w:tcW w:w="1549" w:type="pct"/>
            <w:shd w:val="clear" w:color="auto" w:fill="BDDEFF" w:themeFill="text1" w:themeFillTint="33"/>
          </w:tcPr>
          <w:p w14:paraId="7B7C4385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Example - Approval timeframes for works within a restricted area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6937522E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Likely</w:t>
            </w:r>
          </w:p>
        </w:tc>
        <w:tc>
          <w:tcPr>
            <w:tcW w:w="493" w:type="pct"/>
            <w:shd w:val="clear" w:color="auto" w:fill="BDDEFF" w:themeFill="text1" w:themeFillTint="33"/>
          </w:tcPr>
          <w:p w14:paraId="0A589B23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Severe</w:t>
            </w:r>
          </w:p>
        </w:tc>
        <w:tc>
          <w:tcPr>
            <w:tcW w:w="518" w:type="pct"/>
            <w:shd w:val="clear" w:color="auto" w:fill="FF0000"/>
          </w:tcPr>
          <w:p w14:paraId="04443AD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24</w:t>
            </w:r>
          </w:p>
          <w:p w14:paraId="48917177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Extreme</w:t>
            </w:r>
          </w:p>
        </w:tc>
        <w:tc>
          <w:tcPr>
            <w:tcW w:w="1384" w:type="pct"/>
            <w:shd w:val="clear" w:color="auto" w:fill="BDDEFF" w:themeFill="text1" w:themeFillTint="33"/>
          </w:tcPr>
          <w:p w14:paraId="0EBAC0A5" w14:textId="77777777" w:rsidR="00612C7F" w:rsidRPr="00612C7F" w:rsidRDefault="00612C7F" w:rsidP="000565B7">
            <w:pPr>
              <w:spacing w:before="60" w:after="60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Ensure liaison with relevant regulatory authority early and throughout the Project</w:t>
            </w:r>
          </w:p>
        </w:tc>
        <w:tc>
          <w:tcPr>
            <w:tcW w:w="563" w:type="pct"/>
            <w:shd w:val="clear" w:color="auto" w:fill="FFFF66"/>
          </w:tcPr>
          <w:p w14:paraId="2D7D285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13</w:t>
            </w:r>
          </w:p>
          <w:p w14:paraId="3580BC57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i/>
                <w:iCs/>
                <w:color w:val="131B22"/>
                <w:sz w:val="18"/>
                <w:szCs w:val="18"/>
              </w:rPr>
            </w:pPr>
            <w:r w:rsidRPr="00612C7F">
              <w:rPr>
                <w:rFonts w:cs="Noto Sans"/>
                <w:i/>
                <w:iCs/>
                <w:color w:val="131B22"/>
                <w:sz w:val="18"/>
                <w:szCs w:val="18"/>
              </w:rPr>
              <w:t>Medium</w:t>
            </w:r>
          </w:p>
        </w:tc>
      </w:tr>
      <w:tr w:rsidR="00612C7F" w:rsidRPr="00612C7F" w14:paraId="07ABB999" w14:textId="77777777" w:rsidTr="00612C7F">
        <w:tc>
          <w:tcPr>
            <w:tcW w:w="1549" w:type="pct"/>
          </w:tcPr>
          <w:p w14:paraId="180668E8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48F33AF6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3629CF6D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D075D30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1E8EFD6A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6E9C9276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7BA24CD" w14:textId="77777777" w:rsidTr="00612C7F">
        <w:tc>
          <w:tcPr>
            <w:tcW w:w="1549" w:type="pct"/>
          </w:tcPr>
          <w:p w14:paraId="61FBD874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5ABCAFC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7A96EE26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0B3B286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778905C0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5EAE81E5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2ED187E7" w14:textId="77777777" w:rsidTr="00612C7F">
        <w:tc>
          <w:tcPr>
            <w:tcW w:w="1549" w:type="pct"/>
          </w:tcPr>
          <w:p w14:paraId="6B22BAEA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2E69992C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2425F1B2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5EB602CB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07960A61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2218DC8B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2FB23561" w14:textId="77777777" w:rsidTr="00612C7F">
        <w:tc>
          <w:tcPr>
            <w:tcW w:w="1549" w:type="pct"/>
          </w:tcPr>
          <w:p w14:paraId="375786BB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33D8774C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12655D67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55BCF42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4CEEB3A3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7C6E54A5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C3C29BF" w14:textId="77777777" w:rsidTr="00612C7F">
        <w:tc>
          <w:tcPr>
            <w:tcW w:w="1549" w:type="pct"/>
          </w:tcPr>
          <w:p w14:paraId="62B69264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11B0376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54608661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6102024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03ADC3F2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3C42DD9A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0A12A46" w14:textId="77777777" w:rsidTr="00612C7F">
        <w:tc>
          <w:tcPr>
            <w:tcW w:w="1549" w:type="pct"/>
          </w:tcPr>
          <w:p w14:paraId="5B1A6531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EA8FCB8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53F3D23E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4BD58597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5972CF5D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248A1700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5E271AA" w14:textId="77777777" w:rsidTr="00612C7F">
        <w:tc>
          <w:tcPr>
            <w:tcW w:w="1549" w:type="pct"/>
          </w:tcPr>
          <w:p w14:paraId="21DFA004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B0A721A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7AC80F35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67FC5432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5636EA63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13CACB35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C2CB471" w14:textId="77777777" w:rsidTr="00612C7F">
        <w:tc>
          <w:tcPr>
            <w:tcW w:w="1549" w:type="pct"/>
          </w:tcPr>
          <w:p w14:paraId="3B2F768D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26E3D95D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0E168BF8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2047201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4F9639B9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5131523C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4CBF8B62" w14:textId="77777777" w:rsidTr="00612C7F">
        <w:tc>
          <w:tcPr>
            <w:tcW w:w="1549" w:type="pct"/>
          </w:tcPr>
          <w:p w14:paraId="0A133B6E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EDB9F7D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6A823E8C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1A66D48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08BB36A1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112B7F4E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12C7F" w:rsidRPr="00612C7F" w14:paraId="683E4F83" w14:textId="77777777" w:rsidTr="00612C7F">
        <w:tc>
          <w:tcPr>
            <w:tcW w:w="1549" w:type="pct"/>
          </w:tcPr>
          <w:p w14:paraId="6B530358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6AB43184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1DDC7A2F" w14:textId="77777777" w:rsidR="00612C7F" w:rsidRPr="00612C7F" w:rsidRDefault="00612C7F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2E481FC3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1FF748A5" w14:textId="77777777" w:rsidR="00612C7F" w:rsidRPr="00612C7F" w:rsidRDefault="00612C7F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6CAA9C62" w14:textId="77777777" w:rsidR="00612C7F" w:rsidRPr="00612C7F" w:rsidRDefault="00612C7F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692330" w:rsidRPr="00612C7F" w14:paraId="6350AB6A" w14:textId="77777777" w:rsidTr="00612C7F">
        <w:tc>
          <w:tcPr>
            <w:tcW w:w="1549" w:type="pct"/>
          </w:tcPr>
          <w:p w14:paraId="04EC5A36" w14:textId="77777777" w:rsidR="00692330" w:rsidRPr="00612C7F" w:rsidRDefault="00692330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7A4D851B" w14:textId="77777777" w:rsidR="00692330" w:rsidRPr="00612C7F" w:rsidRDefault="00692330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0AF8658E" w14:textId="77777777" w:rsidR="00692330" w:rsidRPr="00612C7F" w:rsidRDefault="00692330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765CBF17" w14:textId="77777777" w:rsidR="00692330" w:rsidRPr="00612C7F" w:rsidRDefault="00692330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5F1BD2A2" w14:textId="77777777" w:rsidR="00692330" w:rsidRPr="00612C7F" w:rsidRDefault="00692330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496C85AA" w14:textId="77777777" w:rsidR="00692330" w:rsidRPr="00612C7F" w:rsidRDefault="00692330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  <w:tr w:rsidR="00F668B3" w:rsidRPr="00612C7F" w14:paraId="4FBB7001" w14:textId="77777777" w:rsidTr="00612C7F">
        <w:tc>
          <w:tcPr>
            <w:tcW w:w="1549" w:type="pct"/>
          </w:tcPr>
          <w:p w14:paraId="12EC7E7F" w14:textId="77777777" w:rsidR="00F668B3" w:rsidRPr="00612C7F" w:rsidRDefault="00F668B3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</w:tcPr>
          <w:p w14:paraId="15BD9852" w14:textId="77777777" w:rsidR="00F668B3" w:rsidRPr="00612C7F" w:rsidRDefault="00F668B3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FFFFFF"/>
          </w:tcPr>
          <w:p w14:paraId="25892E86" w14:textId="77777777" w:rsidR="00F668B3" w:rsidRPr="00612C7F" w:rsidRDefault="00F668B3" w:rsidP="00612C7F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/>
          </w:tcPr>
          <w:p w14:paraId="1ACA8F04" w14:textId="77777777" w:rsidR="00F668B3" w:rsidRPr="00612C7F" w:rsidRDefault="00F668B3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  <w:tc>
          <w:tcPr>
            <w:tcW w:w="1384" w:type="pct"/>
            <w:shd w:val="clear" w:color="auto" w:fill="FFFFFF"/>
          </w:tcPr>
          <w:p w14:paraId="67DD591A" w14:textId="77777777" w:rsidR="00F668B3" w:rsidRPr="00612C7F" w:rsidRDefault="00F668B3" w:rsidP="000565B7">
            <w:pPr>
              <w:spacing w:before="60" w:after="60"/>
              <w:rPr>
                <w:rFonts w:cs="Noto Sans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FFFFFF"/>
          </w:tcPr>
          <w:p w14:paraId="31B033AE" w14:textId="77777777" w:rsidR="00F668B3" w:rsidRPr="00612C7F" w:rsidRDefault="00F668B3" w:rsidP="00612C7F">
            <w:pPr>
              <w:spacing w:before="60" w:after="60"/>
              <w:jc w:val="center"/>
              <w:rPr>
                <w:rFonts w:cs="Noto Sans"/>
                <w:sz w:val="18"/>
                <w:szCs w:val="18"/>
              </w:rPr>
            </w:pPr>
          </w:p>
        </w:tc>
      </w:tr>
    </w:tbl>
    <w:p w14:paraId="44D73DFD" w14:textId="77777777" w:rsidR="00692330" w:rsidRDefault="00692330" w:rsidP="00692330">
      <w:pPr>
        <w:spacing w:before="120"/>
        <w:rPr>
          <w:rFonts w:cs="Noto Sans"/>
          <w:szCs w:val="20"/>
        </w:rPr>
      </w:pPr>
      <w:r w:rsidRPr="00692330">
        <w:rPr>
          <w:rFonts w:cs="Noto Sans"/>
          <w:szCs w:val="20"/>
        </w:rPr>
        <w:t>&lt;</w:t>
      </w:r>
      <w:r w:rsidRPr="00692330">
        <w:rPr>
          <w:rFonts w:cs="Noto Sans"/>
          <w:i/>
          <w:iCs/>
          <w:szCs w:val="20"/>
        </w:rPr>
        <w:t>include additional details here</w:t>
      </w:r>
      <w:r w:rsidRPr="00692330">
        <w:rPr>
          <w:rFonts w:cs="Noto Sans"/>
          <w:szCs w:val="20"/>
        </w:rPr>
        <w:t>&gt;</w:t>
      </w:r>
    </w:p>
    <w:p w14:paraId="0E02B1A5" w14:textId="77777777" w:rsidR="00692330" w:rsidRPr="00692330" w:rsidRDefault="00692330" w:rsidP="00692330">
      <w:pPr>
        <w:spacing w:before="120"/>
        <w:rPr>
          <w:rFonts w:cs="Noto Sans"/>
          <w:szCs w:val="20"/>
        </w:rPr>
      </w:pPr>
    </w:p>
    <w:p w14:paraId="1071FC30" w14:textId="77777777" w:rsidR="00692330" w:rsidRPr="00692330" w:rsidRDefault="00692330" w:rsidP="00692330">
      <w:pPr>
        <w:spacing w:before="120"/>
        <w:rPr>
          <w:rFonts w:cs="Noto Sans"/>
          <w:b/>
          <w:bCs/>
          <w:szCs w:val="20"/>
        </w:rPr>
      </w:pPr>
      <w:r w:rsidRPr="00692330">
        <w:rPr>
          <w:rFonts w:cs="Noto Sans"/>
          <w:b/>
          <w:bCs/>
          <w:szCs w:val="20"/>
        </w:rPr>
        <w:t>Table 2: Risk likelihood and consequence matrix</w:t>
      </w:r>
    </w:p>
    <w:tbl>
      <w:tblPr>
        <w:tblW w:w="105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78"/>
        <w:gridCol w:w="1560"/>
        <w:gridCol w:w="56"/>
        <w:gridCol w:w="1617"/>
        <w:gridCol w:w="29"/>
        <w:gridCol w:w="1560"/>
        <w:gridCol w:w="28"/>
        <w:gridCol w:w="1532"/>
        <w:gridCol w:w="85"/>
        <w:gridCol w:w="1617"/>
      </w:tblGrid>
      <w:tr w:rsidR="00692330" w:rsidRPr="00692330" w14:paraId="6146FE01" w14:textId="77777777">
        <w:trPr>
          <w:cantSplit/>
          <w:trHeight w:val="296"/>
          <w:tblHeader/>
        </w:trPr>
        <w:tc>
          <w:tcPr>
            <w:tcW w:w="568" w:type="dxa"/>
            <w:vMerge w:val="restart"/>
            <w:textDirection w:val="btLr"/>
            <w:vAlign w:val="center"/>
            <w:hideMark/>
          </w:tcPr>
          <w:p w14:paraId="7FE478C7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Likelihood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FA651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Almost certain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3056531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8 – Medium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1080568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11 – Medium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1BC44352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17 – High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535760C7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23 – Extreme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5A2890C7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25 – Extreme</w:t>
            </w:r>
          </w:p>
        </w:tc>
      </w:tr>
      <w:tr w:rsidR="00692330" w:rsidRPr="00692330" w14:paraId="3EBB5CCA" w14:textId="77777777">
        <w:trPr>
          <w:cantSplit/>
          <w:trHeight w:val="272"/>
          <w:tblHeader/>
        </w:trPr>
        <w:tc>
          <w:tcPr>
            <w:tcW w:w="568" w:type="dxa"/>
            <w:vMerge/>
            <w:vAlign w:val="center"/>
            <w:hideMark/>
          </w:tcPr>
          <w:p w14:paraId="7B8B52C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F3F4D6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Likely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C048D7B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7 – Medium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5B49C6D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10 – Medium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CE1B512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16 – High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9EC6B92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19 – High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7DE7BFF0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24 – Extreme</w:t>
            </w:r>
          </w:p>
        </w:tc>
      </w:tr>
      <w:tr w:rsidR="00692330" w:rsidRPr="00692330" w14:paraId="43DCAD88" w14:textId="77777777">
        <w:trPr>
          <w:cantSplit/>
          <w:trHeight w:val="277"/>
          <w:tblHeader/>
        </w:trPr>
        <w:tc>
          <w:tcPr>
            <w:tcW w:w="568" w:type="dxa"/>
            <w:vMerge/>
            <w:vAlign w:val="center"/>
            <w:hideMark/>
          </w:tcPr>
          <w:p w14:paraId="34E37BF0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1675C4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Possible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08FEE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3 – Low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E8E925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9 – Medium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E9147F5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13 – Medium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568263EF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18 – High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6340B13F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22 – High</w:t>
            </w:r>
          </w:p>
        </w:tc>
      </w:tr>
      <w:tr w:rsidR="00692330" w:rsidRPr="00692330" w14:paraId="330E57A5" w14:textId="77777777">
        <w:trPr>
          <w:cantSplit/>
          <w:trHeight w:val="266"/>
          <w:tblHeader/>
        </w:trPr>
        <w:tc>
          <w:tcPr>
            <w:tcW w:w="568" w:type="dxa"/>
            <w:vMerge/>
            <w:vAlign w:val="center"/>
            <w:hideMark/>
          </w:tcPr>
          <w:p w14:paraId="03FA069D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DC5E1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Unlikely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12AD3E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 – Low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8CD3EE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5 – Low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6AB11F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12 – Medium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BDD665A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15 – Medium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7AC964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21 – High</w:t>
            </w:r>
          </w:p>
        </w:tc>
      </w:tr>
      <w:tr w:rsidR="00692330" w:rsidRPr="00692330" w14:paraId="375DC03F" w14:textId="77777777">
        <w:trPr>
          <w:cantSplit/>
          <w:trHeight w:val="270"/>
          <w:tblHeader/>
        </w:trPr>
        <w:tc>
          <w:tcPr>
            <w:tcW w:w="568" w:type="dxa"/>
            <w:vMerge/>
            <w:vAlign w:val="center"/>
            <w:hideMark/>
          </w:tcPr>
          <w:p w14:paraId="484528C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3A8AAD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Rare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E6D8A8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 – Low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25549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4 – Low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5EAA75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6 – Low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7BE4727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14 – Medium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9BC4988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sz w:val="18"/>
                <w:szCs w:val="18"/>
                <w:lang w:val="en-US"/>
              </w:rPr>
              <w:t>20 – High</w:t>
            </w:r>
          </w:p>
        </w:tc>
      </w:tr>
      <w:tr w:rsidR="00692330" w:rsidRPr="00692330" w14:paraId="511CD40B" w14:textId="77777777">
        <w:trPr>
          <w:cantSplit/>
          <w:tblHeader/>
        </w:trPr>
        <w:tc>
          <w:tcPr>
            <w:tcW w:w="568" w:type="dxa"/>
            <w:vMerge/>
            <w:vAlign w:val="center"/>
            <w:hideMark/>
          </w:tcPr>
          <w:p w14:paraId="22A50290" w14:textId="77777777" w:rsidR="00692330" w:rsidRPr="00692330" w:rsidRDefault="00692330" w:rsidP="00692330">
            <w:pPr>
              <w:spacing w:before="40" w:after="40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</w:tcPr>
          <w:p w14:paraId="2F600157" w14:textId="77777777" w:rsidR="00692330" w:rsidRPr="00692330" w:rsidRDefault="00692330" w:rsidP="00692330">
            <w:pPr>
              <w:spacing w:before="40" w:after="40"/>
              <w:rPr>
                <w:rFonts w:cs="Noto Sans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2034D5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Negligible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79B22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73355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8FE66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Major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46394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Severe</w:t>
            </w:r>
          </w:p>
        </w:tc>
      </w:tr>
      <w:tr w:rsidR="00692330" w:rsidRPr="00692330" w14:paraId="7772AEA6" w14:textId="77777777">
        <w:trPr>
          <w:cantSplit/>
          <w:trHeight w:val="438"/>
          <w:tblHeader/>
        </w:trPr>
        <w:tc>
          <w:tcPr>
            <w:tcW w:w="568" w:type="dxa"/>
          </w:tcPr>
          <w:p w14:paraId="59FF9B70" w14:textId="77777777" w:rsidR="00692330" w:rsidRPr="00692330" w:rsidRDefault="00692330" w:rsidP="00692330">
            <w:pPr>
              <w:spacing w:before="40" w:after="40"/>
              <w:rPr>
                <w:rFonts w:cs="Noto Sans"/>
                <w:i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</w:tcPr>
          <w:p w14:paraId="3DFAF1AD" w14:textId="77777777" w:rsidR="00692330" w:rsidRPr="00692330" w:rsidRDefault="00692330" w:rsidP="00692330">
            <w:pPr>
              <w:spacing w:before="40" w:after="40"/>
              <w:rPr>
                <w:rFonts w:cs="Noto Sans"/>
                <w:i/>
                <w:sz w:val="18"/>
                <w:szCs w:val="18"/>
                <w:lang w:val="en-US"/>
              </w:rPr>
            </w:pPr>
          </w:p>
        </w:tc>
        <w:tc>
          <w:tcPr>
            <w:tcW w:w="8079" w:type="dxa"/>
            <w:gridSpan w:val="9"/>
            <w:vAlign w:val="center"/>
            <w:hideMark/>
          </w:tcPr>
          <w:p w14:paraId="5F165974" w14:textId="77777777" w:rsidR="00692330" w:rsidRPr="00692330" w:rsidRDefault="00692330" w:rsidP="00692330">
            <w:pPr>
              <w:spacing w:before="40" w:after="40"/>
              <w:jc w:val="center"/>
              <w:rPr>
                <w:rFonts w:cs="Noto Sans"/>
                <w:b/>
                <w:i/>
                <w:sz w:val="18"/>
                <w:szCs w:val="18"/>
                <w:lang w:val="en-US"/>
              </w:rPr>
            </w:pPr>
            <w:r w:rsidRPr="00692330">
              <w:rPr>
                <w:rFonts w:cs="Noto Sans"/>
                <w:b/>
                <w:i/>
                <w:sz w:val="18"/>
                <w:szCs w:val="18"/>
                <w:lang w:val="en-US"/>
              </w:rPr>
              <w:t>Consequence</w:t>
            </w:r>
          </w:p>
        </w:tc>
      </w:tr>
    </w:tbl>
    <w:p w14:paraId="6CCD2B0B" w14:textId="77777777" w:rsidR="00692330" w:rsidRPr="00692330" w:rsidRDefault="00692330" w:rsidP="00692330">
      <w:pPr>
        <w:spacing w:after="0"/>
        <w:rPr>
          <w:rFonts w:cs="Noto Sans"/>
          <w:sz w:val="16"/>
          <w:szCs w:val="16"/>
        </w:rPr>
      </w:pPr>
    </w:p>
    <w:sectPr w:rsidR="00692330" w:rsidRPr="00692330" w:rsidSect="002C3A02">
      <w:headerReference w:type="default" r:id="rId14"/>
      <w:footerReference w:type="default" r:id="rId15"/>
      <w:headerReference w:type="first" r:id="rId16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E663" w14:textId="77777777" w:rsidR="00612C7F" w:rsidRDefault="00612C7F" w:rsidP="00190C24">
      <w:r>
        <w:separator/>
      </w:r>
    </w:p>
  </w:endnote>
  <w:endnote w:type="continuationSeparator" w:id="0">
    <w:p w14:paraId="025A6366" w14:textId="77777777" w:rsidR="00612C7F" w:rsidRDefault="00612C7F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F94" w14:textId="77777777" w:rsidR="00D17E7D" w:rsidRDefault="002C3A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C85448A" wp14:editId="2FA33CDF">
              <wp:simplePos x="0" y="0"/>
              <wp:positionH relativeFrom="page">
                <wp:posOffset>0</wp:posOffset>
              </wp:positionH>
              <wp:positionV relativeFrom="page">
                <wp:posOffset>9832975</wp:posOffset>
              </wp:positionV>
              <wp:extent cx="7578000" cy="867600"/>
              <wp:effectExtent l="0" t="0" r="4445" b="8890"/>
              <wp:wrapNone/>
              <wp:docPr id="11309728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797B0" id="Rectangle 2" o:spid="_x0000_s1026" style="position:absolute;margin-left:0;margin-top:774.2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4630F94" wp14:editId="07596F12">
          <wp:simplePos x="0" y="0"/>
          <wp:positionH relativeFrom="column">
            <wp:posOffset>3484178</wp:posOffset>
          </wp:positionH>
          <wp:positionV relativeFrom="paragraph">
            <wp:posOffset>161235</wp:posOffset>
          </wp:positionV>
          <wp:extent cx="3097132" cy="520504"/>
          <wp:effectExtent l="0" t="0" r="0" b="0"/>
          <wp:wrapNone/>
          <wp:docPr id="4729356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35622" name="Picture 3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132" cy="52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71C44F" w14:textId="77777777" w:rsidR="00D17E7D" w:rsidRDefault="00D17E7D">
    <w:pPr>
      <w:pStyle w:val="Footer"/>
    </w:pPr>
  </w:p>
  <w:p w14:paraId="6484F8D8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0723" w14:textId="77777777" w:rsidR="00612C7F" w:rsidRDefault="00612C7F" w:rsidP="00190C24">
      <w:r>
        <w:separator/>
      </w:r>
    </w:p>
  </w:footnote>
  <w:footnote w:type="continuationSeparator" w:id="0">
    <w:p w14:paraId="62C7377B" w14:textId="77777777" w:rsidR="00612C7F" w:rsidRDefault="00612C7F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D32C" w14:textId="77777777" w:rsidR="00273E87" w:rsidRDefault="00273E87" w:rsidP="00555C3B">
    <w:pPr>
      <w:pStyle w:val="Header"/>
      <w:rPr>
        <w:lang w:val="en-US"/>
      </w:rPr>
    </w:pPr>
  </w:p>
  <w:p w14:paraId="0A7602DF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45B490" wp14:editId="752CA365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86E3C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F798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5BBD"/>
    <w:multiLevelType w:val="hybridMultilevel"/>
    <w:tmpl w:val="66E28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397FBD"/>
    <w:multiLevelType w:val="hybridMultilevel"/>
    <w:tmpl w:val="794CBB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111AA"/>
    <w:multiLevelType w:val="hybridMultilevel"/>
    <w:tmpl w:val="AEAC6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10"/>
  </w:num>
  <w:num w:numId="6" w16cid:durableId="1022130639">
    <w:abstractNumId w:val="9"/>
  </w:num>
  <w:num w:numId="7" w16cid:durableId="1282805254">
    <w:abstractNumId w:val="2"/>
  </w:num>
  <w:num w:numId="8" w16cid:durableId="449936833">
    <w:abstractNumId w:val="7"/>
  </w:num>
  <w:num w:numId="9" w16cid:durableId="799229344">
    <w:abstractNumId w:val="4"/>
  </w:num>
  <w:num w:numId="10" w16cid:durableId="1686056280">
    <w:abstractNumId w:val="8"/>
  </w:num>
  <w:num w:numId="11" w16cid:durableId="1222130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7F"/>
    <w:rsid w:val="00003124"/>
    <w:rsid w:val="00007985"/>
    <w:rsid w:val="0002155B"/>
    <w:rsid w:val="000425F7"/>
    <w:rsid w:val="000436FC"/>
    <w:rsid w:val="0005471A"/>
    <w:rsid w:val="00066E58"/>
    <w:rsid w:val="000B61AC"/>
    <w:rsid w:val="000C6874"/>
    <w:rsid w:val="000E122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E70E9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3A02"/>
    <w:rsid w:val="002C47FC"/>
    <w:rsid w:val="002D2D4F"/>
    <w:rsid w:val="002E1B2E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B361F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5F7E6D"/>
    <w:rsid w:val="00612C7F"/>
    <w:rsid w:val="0062040F"/>
    <w:rsid w:val="006239A5"/>
    <w:rsid w:val="00636B71"/>
    <w:rsid w:val="006420CC"/>
    <w:rsid w:val="00642546"/>
    <w:rsid w:val="00646AE8"/>
    <w:rsid w:val="00672747"/>
    <w:rsid w:val="00692330"/>
    <w:rsid w:val="006C3D8E"/>
    <w:rsid w:val="006F0011"/>
    <w:rsid w:val="006F1B8A"/>
    <w:rsid w:val="007274E7"/>
    <w:rsid w:val="007279FF"/>
    <w:rsid w:val="00792FC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6215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613E4"/>
    <w:rsid w:val="00B62F52"/>
    <w:rsid w:val="00B70170"/>
    <w:rsid w:val="00B8699D"/>
    <w:rsid w:val="00B9771E"/>
    <w:rsid w:val="00BC4AA9"/>
    <w:rsid w:val="00BC6556"/>
    <w:rsid w:val="00BD0F68"/>
    <w:rsid w:val="00BD2974"/>
    <w:rsid w:val="00C07E26"/>
    <w:rsid w:val="00C14203"/>
    <w:rsid w:val="00C31759"/>
    <w:rsid w:val="00C33A93"/>
    <w:rsid w:val="00C51A70"/>
    <w:rsid w:val="00C51D08"/>
    <w:rsid w:val="00C75C2F"/>
    <w:rsid w:val="00CA66DC"/>
    <w:rsid w:val="00CB07AD"/>
    <w:rsid w:val="00CB609F"/>
    <w:rsid w:val="00CC7632"/>
    <w:rsid w:val="00CD57A1"/>
    <w:rsid w:val="00CD793C"/>
    <w:rsid w:val="00D01CD2"/>
    <w:rsid w:val="00D13431"/>
    <w:rsid w:val="00D17E6A"/>
    <w:rsid w:val="00D17E7D"/>
    <w:rsid w:val="00D23470"/>
    <w:rsid w:val="00D412BA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668B3"/>
    <w:rsid w:val="00F81184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38C69"/>
  <w15:chartTrackingRefBased/>
  <w15:docId w15:val="{19528681-714A-48FF-8F6A-B3EECD79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2C3A02"/>
    <w:pPr>
      <w:spacing w:after="120"/>
    </w:pPr>
    <w:rPr>
      <w:rFonts w:ascii="Noto Sans" w:eastAsiaTheme="minorEastAsia" w:hAnsi="Noto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rsid w:val="002E1B2E"/>
    <w:pPr>
      <w:spacing w:before="60" w:afterLines="50" w:after="60"/>
    </w:pPr>
    <w:rPr>
      <w:rFonts w:ascii="Calibri" w:eastAsiaTheme="minorHAnsi" w:hAnsi="Calibri"/>
      <w:color w:val="70AD47" w:themeColor="accent6"/>
      <w:sz w:val="22"/>
      <w:szCs w:val="18"/>
    </w:rPr>
  </w:style>
  <w:style w:type="paragraph" w:customStyle="1" w:styleId="TableTextbold">
    <w:name w:val="Table Text bold"/>
    <w:basedOn w:val="Normal"/>
    <w:uiPriority w:val="17"/>
    <w:rsid w:val="002E1B2E"/>
    <w:pPr>
      <w:spacing w:before="60" w:afterLines="50" w:after="60"/>
    </w:pPr>
    <w:rPr>
      <w:rFonts w:ascii="Calibri" w:eastAsiaTheme="minorHAnsi" w:hAnsi="Calibri"/>
      <w:b/>
      <w:color w:val="70AD47" w:themeColor="accent6"/>
      <w:sz w:val="22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paragraph" w:customStyle="1" w:styleId="Breakouttext">
    <w:name w:val="Breakout text"/>
    <w:basedOn w:val="Normal"/>
    <w:uiPriority w:val="7"/>
    <w:qFormat/>
    <w:rsid w:val="00612C7F"/>
    <w:pPr>
      <w:spacing w:before="120" w:line="271" w:lineRule="auto"/>
    </w:pPr>
    <w:rPr>
      <w:rFonts w:ascii="Arial" w:eastAsiaTheme="minorHAnsi" w:hAnsi="Arial"/>
      <w:color w:val="02182F" w:themeColor="text2" w:themeShade="80"/>
      <w:szCs w:val="19"/>
    </w:rPr>
  </w:style>
  <w:style w:type="table" w:customStyle="1" w:styleId="TableGrid1">
    <w:name w:val="Table Grid1"/>
    <w:basedOn w:val="TableNormal"/>
    <w:next w:val="TableGrid"/>
    <w:rsid w:val="00612C7F"/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enziel\Downloads\deliverqld-word-template-noto-a4p%20(3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3B247D4CC2042BA9B433B79F9B2B6" ma:contentTypeVersion="16" ma:contentTypeDescription="Create a new document." ma:contentTypeScope="" ma:versionID="b567a2f193aa9b1a3e11d87522aa6ce2">
  <xsd:schema xmlns:xsd="http://www.w3.org/2001/XMLSchema" xmlns:xs="http://www.w3.org/2001/XMLSchema" xmlns:p="http://schemas.microsoft.com/office/2006/metadata/properties" xmlns:ns2="3ef1d11a-af64-47ef-a5b4-c93767bb32f4" xmlns:ns3="de10504f-ec15-4801-8af8-80fd842d8f0f" targetNamespace="http://schemas.microsoft.com/office/2006/metadata/properties" ma:root="true" ma:fieldsID="ba72ca9b3ee23006cd8a4c59cfdaf551" ns2:_="" ns3:_="">
    <xsd:import namespace="3ef1d11a-af64-47ef-a5b4-c93767bb32f4"/>
    <xsd:import namespace="de10504f-ec15-4801-8af8-80fd842d8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d11a-af64-47ef-a5b4-c93767bb3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504f-ec15-4801-8af8-80fd842d8f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173343-9af6-4db9-97b3-f1c35028b707}" ma:internalName="TaxCatchAll" ma:showField="CatchAllData" ma:web="de10504f-ec15-4801-8af8-80fd842d8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0504f-ec15-4801-8af8-80fd842d8f0f" xsi:nil="true"/>
    <lcf76f155ced4ddcb4097134ff3c332f xmlns="3ef1d11a-af64-47ef-a5b4-c93767bb32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CED45-2E3B-4B78-AE7D-ACD3DC116F3F}"/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(3)</Template>
  <TotalTime>0</TotalTime>
  <Pages>2</Pages>
  <Words>434</Words>
  <Characters>2403</Characters>
  <Application>Microsoft Office Word</Application>
  <DocSecurity>0</DocSecurity>
  <Lines>218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GCCM</dc:creator>
  <cp:keywords/>
  <dc:description/>
  <cp:lastModifiedBy>GCCM</cp:lastModifiedBy>
  <cp:revision>3</cp:revision>
  <cp:lastPrinted>2025-08-07T05:04:00Z</cp:lastPrinted>
  <dcterms:created xsi:type="dcterms:W3CDTF">2026-02-11T00:34:00Z</dcterms:created>
  <dcterms:modified xsi:type="dcterms:W3CDTF">2026-02-11T00:35:00Z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0x010100E873B247D4CC2042BA9B433B79F9B2B6</vt:lpwstr>
  </property>
  <property fmtid="{D5CDD505-2E9C-101B-9397-08002B2CF9AE}" pid="3" name="_dlc_DocIdItemGuid">
    <vt:lpwstr>9c81dd20-6ca7-4a48-b4a6-27f21d98cfa5</vt:lpwstr>
  </property>
  <property fmtid="{D5CDD505-2E9C-101B-9397-08002B2CF9AE}" pid="4" name="MediaServiceImageTags">
    <vt:lpwstr/>
  </property>
</Properties>
</file>